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89A196">
      <w:pPr>
        <w:spacing w:line="560" w:lineRule="exact"/>
        <w:ind w:right="872"/>
        <w:rPr>
          <w:rFonts w:ascii="方正小标宋简体" w:hAnsi="方正小标宋简体" w:eastAsia="方正小标宋简体" w:cs="方正小标宋简体"/>
          <w:sz w:val="44"/>
          <w:szCs w:val="44"/>
        </w:rPr>
      </w:pPr>
    </w:p>
    <w:p w14:paraId="4818DAE1">
      <w:pPr>
        <w:spacing w:line="348" w:lineRule="auto"/>
        <w:rPr>
          <w:rFonts w:hint="eastAsia" w:ascii="黑体" w:hAnsi="黑体" w:eastAsia="黑体" w:cs="黑体"/>
          <w:bCs/>
          <w:sz w:val="32"/>
          <w:szCs w:val="32"/>
        </w:rPr>
      </w:pPr>
      <w:r>
        <w:rPr>
          <w:rFonts w:hint="eastAsia" w:ascii="黑体" w:hAnsi="黑体" w:eastAsia="黑体" w:cs="黑体"/>
          <w:bCs/>
          <w:sz w:val="32"/>
          <w:szCs w:val="32"/>
        </w:rPr>
        <w:t>附件2-1：</w:t>
      </w:r>
    </w:p>
    <w:p w14:paraId="60E10BB9">
      <w:pPr>
        <w:spacing w:line="800" w:lineRule="exact"/>
        <w:jc w:val="center"/>
        <w:rPr>
          <w:rFonts w:hint="eastAsia" w:ascii="宋体" w:hAnsi="宋体" w:eastAsia="宋体" w:cs="宋体"/>
          <w:bCs/>
          <w:sz w:val="48"/>
          <w:szCs w:val="48"/>
        </w:rPr>
      </w:pPr>
      <w:r>
        <w:rPr>
          <w:rFonts w:hint="eastAsia" w:ascii="宋体" w:hAnsi="宋体" w:eastAsia="宋体" w:cs="宋体"/>
          <w:bCs/>
          <w:sz w:val="48"/>
          <w:szCs w:val="48"/>
        </w:rPr>
        <w:t>岳阳市云溪区</w:t>
      </w:r>
      <w:r>
        <w:rPr>
          <w:rFonts w:hint="eastAsia" w:ascii="宋体" w:hAnsi="宋体" w:eastAsia="宋体" w:cs="宋体"/>
          <w:bCs/>
          <w:sz w:val="48"/>
          <w:szCs w:val="48"/>
          <w:u w:val="single"/>
        </w:rPr>
        <w:t>202</w:t>
      </w:r>
      <w:r>
        <w:rPr>
          <w:rFonts w:hint="eastAsia" w:ascii="宋体" w:hAnsi="宋体" w:cs="宋体"/>
          <w:bCs/>
          <w:sz w:val="48"/>
          <w:szCs w:val="48"/>
          <w:u w:val="single"/>
          <w:lang w:val="en-US" w:eastAsia="zh-CN"/>
        </w:rPr>
        <w:t>2</w:t>
      </w:r>
      <w:r>
        <w:rPr>
          <w:rFonts w:hint="eastAsia" w:ascii="宋体" w:hAnsi="宋体" w:eastAsia="宋体" w:cs="宋体"/>
          <w:bCs/>
          <w:sz w:val="48"/>
          <w:szCs w:val="48"/>
        </w:rPr>
        <w:t>年度部门整体支出</w:t>
      </w:r>
    </w:p>
    <w:p w14:paraId="3908FDF7">
      <w:pPr>
        <w:spacing w:line="800" w:lineRule="exact"/>
        <w:jc w:val="center"/>
        <w:rPr>
          <w:rFonts w:hint="eastAsia" w:ascii="宋体" w:hAnsi="宋体" w:eastAsia="宋体" w:cs="宋体"/>
          <w:bCs/>
          <w:sz w:val="48"/>
          <w:szCs w:val="48"/>
        </w:rPr>
      </w:pPr>
      <w:r>
        <w:rPr>
          <w:rFonts w:hint="eastAsia" w:ascii="宋体" w:hAnsi="宋体" w:eastAsia="宋体" w:cs="宋体"/>
          <w:bCs/>
          <w:sz w:val="48"/>
          <w:szCs w:val="48"/>
        </w:rPr>
        <w:t>绩效评价自评报告</w:t>
      </w:r>
    </w:p>
    <w:p w14:paraId="0C82F995">
      <w:pPr>
        <w:rPr>
          <w:rFonts w:hint="eastAsia" w:eastAsia="仿宋_GB2312"/>
          <w:b/>
          <w:sz w:val="32"/>
        </w:rPr>
      </w:pPr>
    </w:p>
    <w:p w14:paraId="72938042">
      <w:pPr>
        <w:rPr>
          <w:rFonts w:hint="eastAsia" w:eastAsia="仿宋_GB2312"/>
          <w:b/>
          <w:sz w:val="32"/>
        </w:rPr>
      </w:pPr>
      <w:r>
        <w:rPr>
          <w:rFonts w:hint="eastAsia" w:eastAsia="仿宋_GB2312"/>
          <w:b/>
          <w:sz w:val="32"/>
        </w:rPr>
        <w:t xml:space="preserve"> </w:t>
      </w:r>
    </w:p>
    <w:p w14:paraId="673450B0">
      <w:pPr>
        <w:rPr>
          <w:rFonts w:hint="eastAsia" w:eastAsia="仿宋_GB2312"/>
          <w:b/>
          <w:sz w:val="32"/>
        </w:rPr>
      </w:pPr>
    </w:p>
    <w:p w14:paraId="57130764">
      <w:pPr>
        <w:spacing w:before="301" w:beforeLines="50" w:line="348" w:lineRule="auto"/>
        <w:ind w:firstLine="476" w:firstLineChars="150"/>
        <w:rPr>
          <w:rFonts w:hint="eastAsia" w:eastAsia="仿宋_GB2312"/>
          <w:sz w:val="32"/>
          <w:szCs w:val="32"/>
          <w:u w:val="single"/>
        </w:rPr>
      </w:pPr>
      <w:r>
        <w:rPr>
          <w:rFonts w:hint="eastAsia" w:eastAsia="仿宋_GB2312"/>
          <w:sz w:val="32"/>
          <w:szCs w:val="32"/>
        </w:rPr>
        <w:t>部门(单位)名称：</w:t>
      </w:r>
      <w:r>
        <w:rPr>
          <w:rFonts w:hint="eastAsia" w:eastAsia="仿宋_GB2312"/>
          <w:sz w:val="32"/>
          <w:szCs w:val="32"/>
          <w:u w:val="single"/>
        </w:rPr>
        <w:t xml:space="preserve">  岳阳市云溪区总工会               </w:t>
      </w:r>
    </w:p>
    <w:p w14:paraId="16FC0CC2">
      <w:pPr>
        <w:spacing w:before="301" w:beforeLines="50" w:line="348" w:lineRule="auto"/>
        <w:ind w:firstLine="476" w:firstLineChars="150"/>
        <w:rPr>
          <w:rFonts w:hint="eastAsia"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w:t>
      </w:r>
      <w:r>
        <w:rPr>
          <w:rFonts w:hint="eastAsia" w:eastAsia="仿宋_GB2312"/>
          <w:spacing w:val="20"/>
          <w:sz w:val="32"/>
          <w:szCs w:val="32"/>
          <w:u w:val="single"/>
        </w:rPr>
        <w:t xml:space="preserve"> 116001                     </w:t>
      </w:r>
    </w:p>
    <w:p w14:paraId="1C4467C7">
      <w:pPr>
        <w:spacing w:before="301" w:beforeLines="50" w:line="348" w:lineRule="auto"/>
        <w:ind w:firstLine="476" w:firstLineChars="150"/>
        <w:rPr>
          <w:rFonts w:hint="eastAsia" w:eastAsia="仿宋_GB2312"/>
          <w:sz w:val="32"/>
          <w:szCs w:val="32"/>
        </w:rPr>
      </w:pPr>
      <w:r>
        <w:rPr>
          <w:rFonts w:hint="eastAsia" w:eastAsia="仿宋_GB2312"/>
          <w:sz w:val="32"/>
          <w:szCs w:val="32"/>
        </w:rPr>
        <w:t>评价方式：部门（单位）绩效自评</w:t>
      </w:r>
    </w:p>
    <w:p w14:paraId="6250B2B1">
      <w:pPr>
        <w:spacing w:before="301" w:beforeLines="50" w:line="348" w:lineRule="auto"/>
        <w:ind w:firstLine="476" w:firstLineChars="150"/>
        <w:rPr>
          <w:rFonts w:hint="eastAsia" w:eastAsia="仿宋_GB2312"/>
          <w:sz w:val="32"/>
          <w:szCs w:val="32"/>
        </w:rPr>
      </w:pPr>
      <w:r>
        <w:rPr>
          <w:rFonts w:hint="eastAsia" w:eastAsia="仿宋_GB2312"/>
          <w:sz w:val="32"/>
          <w:szCs w:val="32"/>
        </w:rPr>
        <w:t xml:space="preserve">评价机构：部门（单位）评价组   </w:t>
      </w:r>
    </w:p>
    <w:p w14:paraId="7C447817">
      <w:pPr>
        <w:spacing w:line="720" w:lineRule="exact"/>
        <w:ind w:firstLine="2188" w:firstLineChars="690"/>
        <w:rPr>
          <w:rFonts w:hint="eastAsia" w:eastAsia="仿宋_GB2312"/>
          <w:sz w:val="32"/>
        </w:rPr>
      </w:pPr>
    </w:p>
    <w:p w14:paraId="615D5BB0">
      <w:pPr>
        <w:spacing w:line="720" w:lineRule="exact"/>
        <w:ind w:firstLine="2188" w:firstLineChars="690"/>
        <w:rPr>
          <w:rFonts w:hint="eastAsia" w:eastAsia="仿宋_GB2312"/>
          <w:sz w:val="32"/>
        </w:rPr>
      </w:pPr>
    </w:p>
    <w:p w14:paraId="314BC02B">
      <w:pPr>
        <w:spacing w:line="720" w:lineRule="exact"/>
        <w:ind w:firstLine="2188" w:firstLineChars="690"/>
        <w:rPr>
          <w:rFonts w:hint="eastAsia" w:eastAsia="仿宋_GB2312"/>
          <w:sz w:val="32"/>
        </w:rPr>
      </w:pPr>
    </w:p>
    <w:p w14:paraId="4DC1F399">
      <w:pPr>
        <w:spacing w:line="348" w:lineRule="auto"/>
        <w:jc w:val="center"/>
        <w:rPr>
          <w:rFonts w:hint="eastAsia" w:eastAsia="仿宋_GB2312"/>
          <w:sz w:val="32"/>
        </w:rPr>
      </w:pPr>
      <w:r>
        <w:rPr>
          <w:rFonts w:hint="eastAsia" w:eastAsia="仿宋_GB2312"/>
          <w:sz w:val="32"/>
        </w:rPr>
        <w:t>报告日期：202</w:t>
      </w:r>
      <w:r>
        <w:rPr>
          <w:rFonts w:hint="eastAsia" w:eastAsia="仿宋_GB2312"/>
          <w:sz w:val="32"/>
          <w:lang w:val="en-US" w:eastAsia="zh-CN"/>
        </w:rPr>
        <w:t>3</w:t>
      </w:r>
      <w:r>
        <w:rPr>
          <w:rFonts w:hint="eastAsia" w:eastAsia="仿宋_GB2312"/>
          <w:sz w:val="32"/>
        </w:rPr>
        <w:t xml:space="preserve"> 年 7 月 15 日</w:t>
      </w:r>
    </w:p>
    <w:p w14:paraId="59BAC58D">
      <w:pPr>
        <w:autoSpaceDN w:val="0"/>
        <w:jc w:val="center"/>
        <w:textAlignment w:val="center"/>
        <w:rPr>
          <w:rFonts w:hint="eastAsia" w:eastAsia="仿宋_GB2312"/>
          <w:sz w:val="32"/>
          <w:szCs w:val="32"/>
        </w:rPr>
        <w:sectPr>
          <w:footerReference r:id="rId3" w:type="default"/>
          <w:footerReference r:id="rId4" w:type="even"/>
          <w:pgSz w:w="11906" w:h="16838"/>
          <w:pgMar w:top="1588" w:right="1588" w:bottom="1588" w:left="1588" w:header="851" w:footer="992" w:gutter="0"/>
          <w:pgNumType w:start="1"/>
          <w:cols w:space="720" w:num="1"/>
          <w:titlePg/>
          <w:docGrid w:type="linesAndChars" w:linePitch="602" w:charSpace="-782"/>
        </w:sectPr>
      </w:pPr>
      <w:r>
        <w:rPr>
          <w:rFonts w:hint="eastAsia" w:eastAsia="仿宋_GB2312"/>
          <w:sz w:val="32"/>
        </w:rPr>
        <w:t>岳阳市云溪财政</w:t>
      </w:r>
      <w:r>
        <w:rPr>
          <w:rFonts w:hint="eastAsia" w:eastAsia="仿宋_GB2312"/>
          <w:sz w:val="32"/>
          <w:szCs w:val="32"/>
        </w:rPr>
        <w:t>局（制）</w:t>
      </w:r>
    </w:p>
    <w:tbl>
      <w:tblPr>
        <w:tblStyle w:val="4"/>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14:paraId="2E44B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14:paraId="3B44E9D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14:paraId="694D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14:paraId="5866483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noWrap w:val="0"/>
            <w:vAlign w:val="center"/>
          </w:tcPr>
          <w:p w14:paraId="227D92CD">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李红英</w:t>
            </w:r>
          </w:p>
        </w:tc>
        <w:tc>
          <w:tcPr>
            <w:tcW w:w="1479" w:type="dxa"/>
            <w:noWrap w:val="0"/>
            <w:vAlign w:val="center"/>
          </w:tcPr>
          <w:p w14:paraId="3FF5BF1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noWrap w:val="0"/>
            <w:vAlign w:val="center"/>
          </w:tcPr>
          <w:p w14:paraId="30932B7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8410259</w:t>
            </w:r>
          </w:p>
        </w:tc>
      </w:tr>
      <w:tr w14:paraId="14AB8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14:paraId="7E3FC1F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noWrap w:val="0"/>
            <w:vAlign w:val="center"/>
          </w:tcPr>
          <w:p w14:paraId="275D9F39">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w:t>
            </w:r>
          </w:p>
        </w:tc>
        <w:tc>
          <w:tcPr>
            <w:tcW w:w="1479" w:type="dxa"/>
            <w:noWrap w:val="0"/>
            <w:vAlign w:val="center"/>
          </w:tcPr>
          <w:p w14:paraId="7960D80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noWrap w:val="0"/>
            <w:vAlign w:val="center"/>
          </w:tcPr>
          <w:p w14:paraId="687DA509">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16</w:t>
            </w:r>
          </w:p>
        </w:tc>
      </w:tr>
      <w:tr w14:paraId="2E79A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500" w:hRule="atLeast"/>
          <w:jc w:val="center"/>
        </w:trPr>
        <w:tc>
          <w:tcPr>
            <w:tcW w:w="1654" w:type="dxa"/>
            <w:gridSpan w:val="2"/>
            <w:noWrap w:val="0"/>
            <w:vAlign w:val="center"/>
          </w:tcPr>
          <w:p w14:paraId="0643972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noWrap w:val="0"/>
            <w:vAlign w:val="center"/>
          </w:tcPr>
          <w:p w14:paraId="518579EE">
            <w:pPr>
              <w:autoSpaceDN w:val="0"/>
              <w:spacing w:line="320" w:lineRule="exact"/>
              <w:jc w:val="left"/>
              <w:textAlignment w:val="center"/>
              <w:rPr>
                <w:rFonts w:hint="eastAsia" w:ascii="仿宋_GB2312" w:hAnsi="仿宋_GB2312" w:eastAsia="仿宋_GB2312" w:cs="仿宋_GB2312"/>
                <w:color w:val="000000"/>
                <w:sz w:val="24"/>
              </w:rPr>
            </w:pPr>
            <w:r>
              <w:rPr>
                <w:rFonts w:ascii="仿宋" w:hAnsi="仿宋" w:eastAsia="仿宋"/>
                <w:color w:val="333333"/>
                <w:sz w:val="28"/>
                <w:szCs w:val="28"/>
              </w:rPr>
              <w:t>依照《工会法》、《劳动法》和《中国工会章程》等有关法律法规，组织和指导全区各级工会履行工会的"维护、建设、参与、教育"等</w:t>
            </w:r>
            <w:r>
              <w:rPr>
                <w:rFonts w:hint="eastAsia" w:ascii="仿宋" w:hAnsi="仿宋" w:eastAsia="仿宋"/>
                <w:color w:val="333333"/>
                <w:sz w:val="28"/>
                <w:szCs w:val="28"/>
              </w:rPr>
              <w:t>各</w:t>
            </w:r>
            <w:r>
              <w:rPr>
                <w:rFonts w:ascii="仿宋" w:hAnsi="仿宋" w:eastAsia="仿宋"/>
                <w:color w:val="333333"/>
                <w:sz w:val="28"/>
                <w:szCs w:val="28"/>
              </w:rPr>
              <w:t>项社会职能。</w:t>
            </w:r>
          </w:p>
        </w:tc>
      </w:tr>
      <w:tr w14:paraId="30447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64" w:hRule="atLeast"/>
          <w:jc w:val="center"/>
        </w:trPr>
        <w:tc>
          <w:tcPr>
            <w:tcW w:w="1654" w:type="dxa"/>
            <w:gridSpan w:val="2"/>
            <w:noWrap w:val="0"/>
            <w:vAlign w:val="center"/>
          </w:tcPr>
          <w:p w14:paraId="7E0EDBF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14:paraId="71B4835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noWrap w:val="0"/>
            <w:vAlign w:val="center"/>
          </w:tcPr>
          <w:p w14:paraId="6D95100B">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工会组织建设：完成市总工会下达的组建任务，推进会员实名制登记管理，完善基层工会组织建设工作管理系统，认真做好年报录入等工作；打造3～5家工会阵地建设示范点；着力创建省、市模范职工之家（职工小家）1-2家。</w:t>
            </w:r>
          </w:p>
          <w:p w14:paraId="2D330EB8">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维权保障工作：开展中央专项彩票公益金法律援助项目帮扶；做好第七期职工医疗宣传，让参保职工及时得到救助，启动第</w:t>
            </w:r>
            <w:r>
              <w:rPr>
                <w:rFonts w:hint="eastAsia" w:ascii="仿宋" w:hAnsi="仿宋" w:eastAsia="仿宋" w:cs="仿宋_GB2312"/>
                <w:color w:val="000000"/>
                <w:sz w:val="24"/>
                <w:lang w:val="en-US" w:eastAsia="zh-CN"/>
              </w:rPr>
              <w:t>九</w:t>
            </w:r>
            <w:r>
              <w:rPr>
                <w:rFonts w:hint="eastAsia" w:ascii="仿宋" w:hAnsi="仿宋" w:eastAsia="仿宋" w:cs="仿宋_GB2312"/>
                <w:color w:val="000000"/>
                <w:sz w:val="24"/>
              </w:rPr>
              <w:t>期职工医疗互助提质扩面工作，；认真做好“四送”主题活动，推进“双联”帮扶，做好 “双联”办日常工作，阶段性调度工作推进情况，做好年底“双联”集中帮扶</w:t>
            </w:r>
            <w:r>
              <w:rPr>
                <w:rFonts w:hint="eastAsia" w:ascii="仿宋" w:hAnsi="仿宋" w:eastAsia="仿宋" w:cs="仿宋_GB2312"/>
                <w:color w:val="000000"/>
                <w:sz w:val="24"/>
                <w:lang w:eastAsia="zh-CN"/>
              </w:rPr>
              <w:t>；加大困难职工走访力度，按照困难程度，实施分类建档，确保应建尽建，规范困难职工档案管理，依纪依规管理和使用帮扶资金</w:t>
            </w:r>
            <w:r>
              <w:rPr>
                <w:rFonts w:hint="eastAsia" w:ascii="仿宋" w:hAnsi="仿宋" w:eastAsia="仿宋" w:cs="仿宋_GB2312"/>
                <w:color w:val="000000"/>
                <w:sz w:val="24"/>
              </w:rPr>
              <w:t>。</w:t>
            </w:r>
          </w:p>
          <w:p w14:paraId="49AEA470">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经济技术工作：大力开展劳动竞赛与巴陵工匠、示范性劳模创新工作室等评选活动，助力推进云溪高质量发展，积极向省市申报创建“工人先锋号”；加大职工技能培训力度，着力推进新时代产业工人队伍建设改革提升，组建区域技能人才资源数据库</w:t>
            </w:r>
            <w:r>
              <w:rPr>
                <w:rFonts w:hint="eastAsia" w:ascii="仿宋" w:hAnsi="仿宋" w:eastAsia="仿宋" w:cs="仿宋_GB2312"/>
                <w:color w:val="000000"/>
                <w:sz w:val="24"/>
                <w:lang w:eastAsia="zh-CN"/>
              </w:rPr>
              <w:t>；加大劳模工匠关爱力度，在“五一工人阶级宣传月”期间，采取多种形式弘扬劳模精神、劳动精神、工匠精神，组织劳模开展分批次开展疗养活动。</w:t>
            </w:r>
          </w:p>
          <w:p w14:paraId="59BF17A0">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女工工作：强化女职工组织规范化建设，完善女职工组织台帐，培育选树1-2个女职工建设示范点；以女职工培训学校和“一户一产业工程”基地为依托，加强女职工劳动技能培训和素质教育；培养选拔女性岗星、劳模、工匠</w:t>
            </w:r>
            <w:r>
              <w:rPr>
                <w:rFonts w:hint="eastAsia" w:ascii="仿宋" w:hAnsi="仿宋" w:eastAsia="仿宋" w:cs="仿宋_GB2312"/>
                <w:color w:val="000000"/>
                <w:sz w:val="24"/>
                <w:lang w:eastAsia="zh-CN"/>
              </w:rPr>
              <w:t>；全面深化“第</w:t>
            </w:r>
            <w:r>
              <w:rPr>
                <w:rFonts w:hint="eastAsia" w:ascii="仿宋" w:hAnsi="仿宋" w:eastAsia="仿宋" w:cs="仿宋_GB2312"/>
                <w:color w:val="000000"/>
                <w:sz w:val="24"/>
                <w:lang w:val="en-US" w:eastAsia="zh-CN"/>
              </w:rPr>
              <w:t>十</w:t>
            </w:r>
            <w:r>
              <w:rPr>
                <w:rFonts w:hint="eastAsia" w:ascii="仿宋" w:hAnsi="仿宋" w:eastAsia="仿宋" w:cs="仿宋_GB2312"/>
                <w:color w:val="000000"/>
                <w:sz w:val="24"/>
                <w:lang w:eastAsia="zh-CN"/>
              </w:rPr>
              <w:t>轮芙蓉杯”竞赛活动，认真开展芙蓉公益讲堂；开展女职工“维权行动月”活动，贯彻落实《湖南省女职工劳动保护特别规定》，推进女职工专项集体合同提质扩面。开展女职工“两癌”普查，做好女职工困难和心理帮扶，推进母婴关爱室建设，加强女职工家教家风引领。</w:t>
            </w:r>
          </w:p>
          <w:p w14:paraId="617485FD">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民主管理工作：进一步推进企业工资集体协商工作，确保企业工资集体协商占工会建制率的92%以上；指导非公企业加强厂务公开、推进职代会建设，重点指导教育、卫计等行业开好职代会。</w:t>
            </w:r>
          </w:p>
          <w:p w14:paraId="5808378C">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工会财务经审工作：全面完成市总下达的经费征缴任务；加大基层工会经费审计检查力度，继续购买第三方经审服务，延伸工会审计触角，通过以审促改、以审促规范，确保全区工会经费规范管理使用全面规范到位，使用规范</w:t>
            </w:r>
            <w:r>
              <w:rPr>
                <w:rFonts w:hint="eastAsia" w:ascii="仿宋" w:hAnsi="仿宋" w:eastAsia="仿宋" w:cs="仿宋_GB2312"/>
                <w:color w:val="000000"/>
                <w:sz w:val="24"/>
                <w:lang w:eastAsia="zh-CN"/>
              </w:rPr>
              <w:t>。</w:t>
            </w:r>
          </w:p>
          <w:p w14:paraId="210AFD9E">
            <w:pPr>
              <w:numPr>
                <w:ilvl w:val="0"/>
                <w:numId w:val="1"/>
              </w:num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工会活动开展：</w:t>
            </w:r>
            <w:r>
              <w:rPr>
                <w:rFonts w:hint="eastAsia" w:ascii="仿宋" w:hAnsi="仿宋" w:eastAsia="仿宋" w:cs="仿宋_GB2312"/>
                <w:color w:val="000000"/>
                <w:sz w:val="24"/>
                <w:lang w:val="en-US" w:eastAsia="zh-CN"/>
              </w:rPr>
              <w:t>举办</w:t>
            </w:r>
            <w:r>
              <w:rPr>
                <w:rFonts w:hint="eastAsia" w:ascii="仿宋" w:hAnsi="仿宋" w:eastAsia="仿宋" w:cs="仿宋_GB2312"/>
                <w:color w:val="000000"/>
                <w:sz w:val="24"/>
                <w:lang w:eastAsia="zh-CN"/>
              </w:rPr>
              <w:t>第四届工职工乒乓</w:t>
            </w:r>
            <w:r>
              <w:rPr>
                <w:rFonts w:hint="eastAsia" w:ascii="仿宋" w:hAnsi="仿宋" w:eastAsia="仿宋" w:cs="仿宋_GB2312"/>
                <w:color w:val="000000"/>
                <w:sz w:val="24"/>
                <w:lang w:val="en-US" w:eastAsia="zh-CN"/>
              </w:rPr>
              <w:t>球比赛</w:t>
            </w:r>
            <w:r>
              <w:rPr>
                <w:rFonts w:hint="eastAsia" w:ascii="仿宋" w:hAnsi="仿宋" w:eastAsia="仿宋" w:cs="仿宋_GB2312"/>
                <w:color w:val="000000"/>
                <w:sz w:val="24"/>
              </w:rPr>
              <w:t>等活动</w:t>
            </w:r>
            <w:r>
              <w:rPr>
                <w:rFonts w:hint="eastAsia" w:ascii="仿宋" w:hAnsi="仿宋" w:eastAsia="仿宋" w:cs="仿宋_GB2312"/>
                <w:color w:val="000000"/>
                <w:sz w:val="24"/>
                <w:lang w:eastAsia="zh-CN"/>
              </w:rPr>
              <w:t>；联合各基层工会开展职工同唱红歌比赛活动；倡导鼓励各基层工会组织开展形式多样的职工文化活动，引导广大职工听党话、跟党走、努力建功新时代；加大工会理论与业务培训力度，全年计划对机关全体干部、直属工会主席、女工干部等进行集中培训、轮训、调训。</w:t>
            </w:r>
          </w:p>
        </w:tc>
      </w:tr>
      <w:tr w14:paraId="17FEE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260" w:hRule="atLeast"/>
          <w:jc w:val="center"/>
        </w:trPr>
        <w:tc>
          <w:tcPr>
            <w:tcW w:w="1654" w:type="dxa"/>
            <w:gridSpan w:val="2"/>
            <w:noWrap w:val="0"/>
            <w:vAlign w:val="center"/>
          </w:tcPr>
          <w:p w14:paraId="2417BF6A">
            <w:pPr>
              <w:autoSpaceDN w:val="0"/>
              <w:spacing w:line="320" w:lineRule="exact"/>
              <w:jc w:val="center"/>
              <w:textAlignment w:val="center"/>
              <w:rPr>
                <w:rFonts w:hint="eastAsia"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noWrap w:val="0"/>
            <w:vAlign w:val="center"/>
          </w:tcPr>
          <w:p w14:paraId="04498985">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1、</w:t>
            </w:r>
            <w:r>
              <w:rPr>
                <w:rFonts w:hint="eastAsia" w:ascii="仿宋" w:hAnsi="仿宋" w:eastAsia="仿宋"/>
                <w:sz w:val="28"/>
                <w:szCs w:val="28"/>
              </w:rPr>
              <w:t>维权服务更加有力。</w:t>
            </w:r>
          </w:p>
          <w:p w14:paraId="0AF35351">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2、</w:t>
            </w:r>
            <w:r>
              <w:rPr>
                <w:rFonts w:hint="eastAsia" w:ascii="仿宋" w:hAnsi="仿宋" w:eastAsia="仿宋"/>
                <w:sz w:val="28"/>
                <w:szCs w:val="28"/>
              </w:rPr>
              <w:t>扶贫帮困更加有为。</w:t>
            </w:r>
          </w:p>
          <w:p w14:paraId="669F3831">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3、</w:t>
            </w:r>
            <w:r>
              <w:rPr>
                <w:rFonts w:hint="eastAsia" w:ascii="仿宋" w:hAnsi="仿宋" w:eastAsia="仿宋"/>
                <w:sz w:val="28"/>
                <w:szCs w:val="28"/>
              </w:rPr>
              <w:t>基层组织更加有范。</w:t>
            </w:r>
          </w:p>
          <w:p w14:paraId="46F75503">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4、</w:t>
            </w:r>
            <w:r>
              <w:rPr>
                <w:rFonts w:hint="eastAsia" w:ascii="仿宋" w:hAnsi="仿宋" w:eastAsia="仿宋"/>
                <w:sz w:val="28"/>
                <w:szCs w:val="28"/>
              </w:rPr>
              <w:t>素质提升更加有效。</w:t>
            </w:r>
          </w:p>
          <w:p w14:paraId="696437EC">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5、</w:t>
            </w:r>
            <w:r>
              <w:rPr>
                <w:rFonts w:hint="eastAsia" w:ascii="仿宋" w:hAnsi="仿宋" w:eastAsia="仿宋"/>
                <w:sz w:val="28"/>
                <w:szCs w:val="28"/>
              </w:rPr>
              <w:t>文体活动更加有势。</w:t>
            </w:r>
          </w:p>
          <w:p w14:paraId="6608AF72">
            <w:pPr>
              <w:autoSpaceDN w:val="0"/>
              <w:spacing w:line="320" w:lineRule="exact"/>
              <w:jc w:val="left"/>
              <w:textAlignment w:val="center"/>
              <w:rPr>
                <w:rFonts w:ascii="仿宋" w:hAnsi="仿宋" w:eastAsia="仿宋" w:cs="仿宋_GB2312"/>
                <w:color w:val="000000"/>
                <w:sz w:val="28"/>
                <w:szCs w:val="28"/>
              </w:rPr>
            </w:pPr>
            <w:r>
              <w:rPr>
                <w:rFonts w:hint="eastAsia" w:ascii="仿宋" w:hAnsi="仿宋" w:eastAsia="仿宋" w:cs="仿宋_GB2312"/>
                <w:color w:val="000000"/>
                <w:sz w:val="28"/>
                <w:szCs w:val="28"/>
              </w:rPr>
              <w:t>6、</w:t>
            </w:r>
            <w:r>
              <w:rPr>
                <w:rFonts w:hint="eastAsia" w:ascii="仿宋" w:hAnsi="仿宋" w:eastAsia="仿宋"/>
                <w:sz w:val="28"/>
                <w:szCs w:val="28"/>
              </w:rPr>
              <w:t>改革创新更加有成。</w:t>
            </w:r>
          </w:p>
          <w:p w14:paraId="53EE486C">
            <w:pPr>
              <w:autoSpaceDN w:val="0"/>
              <w:spacing w:line="320" w:lineRule="exact"/>
              <w:jc w:val="left"/>
              <w:textAlignment w:val="center"/>
              <w:rPr>
                <w:rFonts w:hint="eastAsia" w:ascii="仿宋_GB2312" w:hAnsi="仿宋_GB2312" w:eastAsia="仿宋_GB2312" w:cs="仿宋_GB2312"/>
                <w:color w:val="000000"/>
                <w:sz w:val="24"/>
              </w:rPr>
            </w:pPr>
          </w:p>
        </w:tc>
      </w:tr>
      <w:tr w14:paraId="6777A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14:paraId="6083138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14:paraId="14351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14:paraId="25DB76A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14:paraId="019F1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vMerge w:val="restart"/>
            <w:noWrap w:val="0"/>
            <w:vAlign w:val="center"/>
          </w:tcPr>
          <w:p w14:paraId="004F9AF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noWrap w:val="0"/>
            <w:vAlign w:val="center"/>
          </w:tcPr>
          <w:p w14:paraId="7146807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noWrap w:val="0"/>
            <w:vAlign w:val="center"/>
          </w:tcPr>
          <w:p w14:paraId="6FCE256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33A83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14" w:hRule="atLeast"/>
          <w:jc w:val="center"/>
        </w:trPr>
        <w:tc>
          <w:tcPr>
            <w:tcW w:w="1700" w:type="dxa"/>
            <w:gridSpan w:val="3"/>
            <w:vMerge w:val="continue"/>
            <w:noWrap w:val="0"/>
            <w:vAlign w:val="center"/>
          </w:tcPr>
          <w:p w14:paraId="414BEE4F">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vMerge w:val="continue"/>
            <w:tcBorders>
              <w:right w:val="single" w:color="auto" w:sz="4" w:space="0"/>
            </w:tcBorders>
            <w:noWrap w:val="0"/>
            <w:vAlign w:val="center"/>
          </w:tcPr>
          <w:p w14:paraId="4F685026">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11C02F6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noWrap w:val="0"/>
            <w:vAlign w:val="center"/>
          </w:tcPr>
          <w:p w14:paraId="67C878E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14:paraId="06362B2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noWrap w:val="0"/>
            <w:vAlign w:val="center"/>
          </w:tcPr>
          <w:p w14:paraId="5B307AE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noWrap w:val="0"/>
            <w:vAlign w:val="center"/>
          </w:tcPr>
          <w:p w14:paraId="106AAE4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noWrap w:val="0"/>
            <w:vAlign w:val="center"/>
          </w:tcPr>
          <w:p w14:paraId="1C3B5FC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14:paraId="267DA6D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14:paraId="3381C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700" w:type="dxa"/>
            <w:gridSpan w:val="3"/>
            <w:noWrap w:val="0"/>
            <w:vAlign w:val="center"/>
          </w:tcPr>
          <w:p w14:paraId="401F603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14:paraId="1DC66BFD">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355" w:type="dxa"/>
            <w:gridSpan w:val="2"/>
            <w:tcBorders>
              <w:left w:val="single" w:color="auto" w:sz="4" w:space="0"/>
            </w:tcBorders>
            <w:noWrap w:val="0"/>
            <w:vAlign w:val="center"/>
          </w:tcPr>
          <w:p w14:paraId="6AE38508">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14:paraId="691FF5E1">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705" w:type="dxa"/>
            <w:gridSpan w:val="2"/>
            <w:noWrap w:val="0"/>
            <w:vAlign w:val="center"/>
          </w:tcPr>
          <w:p w14:paraId="3199EB57">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14:paraId="23F977C1">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14:paraId="0D2859D5">
            <w:pPr>
              <w:autoSpaceDN w:val="0"/>
              <w:spacing w:line="320" w:lineRule="exact"/>
              <w:jc w:val="left"/>
              <w:textAlignment w:val="center"/>
              <w:rPr>
                <w:rFonts w:hint="eastAsia" w:ascii="仿宋_GB2312" w:hAnsi="仿宋_GB2312" w:eastAsia="仿宋_GB2312" w:cs="仿宋_GB2312"/>
                <w:color w:val="000000"/>
                <w:sz w:val="24"/>
              </w:rPr>
            </w:pPr>
          </w:p>
        </w:tc>
      </w:tr>
      <w:tr w14:paraId="11FEB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14:paraId="54CD6DE6">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14:paraId="6E0515CF">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355" w:type="dxa"/>
            <w:gridSpan w:val="2"/>
            <w:tcBorders>
              <w:left w:val="single" w:color="auto" w:sz="4" w:space="0"/>
            </w:tcBorders>
            <w:noWrap w:val="0"/>
            <w:vAlign w:val="center"/>
          </w:tcPr>
          <w:p w14:paraId="04FF0984">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14:paraId="7D53E976">
            <w:pPr>
              <w:autoSpaceDN w:val="0"/>
              <w:spacing w:line="320" w:lineRule="exact"/>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705" w:type="dxa"/>
            <w:gridSpan w:val="2"/>
            <w:noWrap w:val="0"/>
            <w:vAlign w:val="center"/>
          </w:tcPr>
          <w:p w14:paraId="54BA659E">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14:paraId="17A6A66C">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14:paraId="1368ECF6">
            <w:pPr>
              <w:autoSpaceDN w:val="0"/>
              <w:spacing w:line="320" w:lineRule="exact"/>
              <w:jc w:val="left"/>
              <w:textAlignment w:val="center"/>
              <w:rPr>
                <w:rFonts w:hint="eastAsia" w:ascii="仿宋_GB2312" w:hAnsi="仿宋_GB2312" w:eastAsia="仿宋_GB2312" w:cs="仿宋_GB2312"/>
                <w:color w:val="000000"/>
                <w:sz w:val="24"/>
              </w:rPr>
            </w:pPr>
          </w:p>
        </w:tc>
      </w:tr>
      <w:tr w14:paraId="202C79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14:paraId="6AA04FD4">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14:paraId="3C1DB1C3">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36C03EC3">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14:paraId="7BF2D665">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14:paraId="3F379829">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14:paraId="442D17E6">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14:paraId="5419801B">
            <w:pPr>
              <w:autoSpaceDN w:val="0"/>
              <w:spacing w:line="320" w:lineRule="exact"/>
              <w:jc w:val="left"/>
              <w:textAlignment w:val="center"/>
              <w:rPr>
                <w:rFonts w:hint="eastAsia" w:ascii="仿宋_GB2312" w:hAnsi="仿宋_GB2312" w:eastAsia="仿宋_GB2312" w:cs="仿宋_GB2312"/>
                <w:color w:val="000000"/>
                <w:sz w:val="24"/>
              </w:rPr>
            </w:pPr>
          </w:p>
        </w:tc>
      </w:tr>
      <w:tr w14:paraId="0294AA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700" w:type="dxa"/>
            <w:gridSpan w:val="3"/>
            <w:noWrap w:val="0"/>
            <w:vAlign w:val="center"/>
          </w:tcPr>
          <w:p w14:paraId="1B6713BA">
            <w:pPr>
              <w:spacing w:line="320" w:lineRule="exac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14:paraId="74810F6F">
            <w:pPr>
              <w:autoSpaceDN w:val="0"/>
              <w:spacing w:line="320" w:lineRule="exact"/>
              <w:jc w:val="left"/>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1BBEABBE">
            <w:pPr>
              <w:autoSpaceDN w:val="0"/>
              <w:spacing w:line="320" w:lineRule="exact"/>
              <w:jc w:val="left"/>
              <w:textAlignment w:val="center"/>
              <w:rPr>
                <w:rFonts w:hint="eastAsia" w:ascii="仿宋_GB2312" w:hAnsi="仿宋_GB2312" w:eastAsia="仿宋_GB2312" w:cs="仿宋_GB2312"/>
                <w:color w:val="000000"/>
                <w:sz w:val="24"/>
              </w:rPr>
            </w:pPr>
          </w:p>
        </w:tc>
        <w:tc>
          <w:tcPr>
            <w:tcW w:w="1080" w:type="dxa"/>
            <w:gridSpan w:val="2"/>
            <w:noWrap w:val="0"/>
            <w:vAlign w:val="center"/>
          </w:tcPr>
          <w:p w14:paraId="418106CF">
            <w:pPr>
              <w:autoSpaceDN w:val="0"/>
              <w:spacing w:line="320" w:lineRule="exact"/>
              <w:jc w:val="left"/>
              <w:textAlignment w:val="center"/>
              <w:rPr>
                <w:rFonts w:hint="eastAsia" w:ascii="仿宋_GB2312" w:hAnsi="仿宋_GB2312" w:eastAsia="仿宋_GB2312" w:cs="仿宋_GB2312"/>
                <w:color w:val="000000"/>
                <w:sz w:val="24"/>
              </w:rPr>
            </w:pPr>
          </w:p>
        </w:tc>
        <w:tc>
          <w:tcPr>
            <w:tcW w:w="1705" w:type="dxa"/>
            <w:gridSpan w:val="2"/>
            <w:noWrap w:val="0"/>
            <w:vAlign w:val="center"/>
          </w:tcPr>
          <w:p w14:paraId="6E304548">
            <w:pPr>
              <w:autoSpaceDN w:val="0"/>
              <w:spacing w:line="320" w:lineRule="exact"/>
              <w:jc w:val="left"/>
              <w:textAlignment w:val="center"/>
              <w:rPr>
                <w:rFonts w:hint="eastAsia" w:ascii="仿宋_GB2312" w:hAnsi="仿宋_GB2312" w:eastAsia="仿宋_GB2312" w:cs="仿宋_GB2312"/>
                <w:color w:val="000000"/>
                <w:sz w:val="24"/>
              </w:rPr>
            </w:pPr>
          </w:p>
        </w:tc>
        <w:tc>
          <w:tcPr>
            <w:tcW w:w="1800" w:type="dxa"/>
            <w:gridSpan w:val="4"/>
            <w:noWrap w:val="0"/>
            <w:vAlign w:val="center"/>
          </w:tcPr>
          <w:p w14:paraId="40C65E9B">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3"/>
            <w:noWrap w:val="0"/>
            <w:vAlign w:val="center"/>
          </w:tcPr>
          <w:p w14:paraId="04E64249">
            <w:pPr>
              <w:autoSpaceDN w:val="0"/>
              <w:spacing w:line="320" w:lineRule="exact"/>
              <w:jc w:val="left"/>
              <w:textAlignment w:val="center"/>
              <w:rPr>
                <w:rFonts w:hint="eastAsia" w:ascii="仿宋_GB2312" w:hAnsi="仿宋_GB2312" w:eastAsia="仿宋_GB2312" w:cs="仿宋_GB2312"/>
                <w:color w:val="000000"/>
                <w:sz w:val="24"/>
              </w:rPr>
            </w:pPr>
          </w:p>
        </w:tc>
      </w:tr>
      <w:tr w14:paraId="0E0B2F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9800" w:type="dxa"/>
            <w:gridSpan w:val="17"/>
            <w:noWrap w:val="0"/>
            <w:vAlign w:val="center"/>
          </w:tcPr>
          <w:p w14:paraId="15479B9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14:paraId="3273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14:paraId="1E60AB7B">
            <w:pPr>
              <w:snapToGrid w:val="0"/>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14:paraId="3221B6C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noWrap w:val="0"/>
            <w:vAlign w:val="center"/>
          </w:tcPr>
          <w:p w14:paraId="77F895A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noWrap w:val="0"/>
            <w:vAlign w:val="center"/>
          </w:tcPr>
          <w:p w14:paraId="5185BD3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14:paraId="575A5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14:paraId="188CFCB5">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14:paraId="0F93F9BF">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noWrap w:val="0"/>
            <w:vAlign w:val="center"/>
          </w:tcPr>
          <w:p w14:paraId="5586F43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noWrap w:val="0"/>
            <w:vAlign w:val="center"/>
          </w:tcPr>
          <w:p w14:paraId="16610DF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noWrap w:val="0"/>
            <w:vAlign w:val="center"/>
          </w:tcPr>
          <w:p w14:paraId="53E43B2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14:paraId="2E1DBE0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noWrap w:val="0"/>
            <w:vAlign w:val="center"/>
          </w:tcPr>
          <w:p w14:paraId="7DB6F96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14:paraId="327B2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14:paraId="3C00D6A2">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14:paraId="3E11F4AC">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vMerge w:val="continue"/>
            <w:tcBorders>
              <w:left w:val="single" w:color="auto" w:sz="4" w:space="0"/>
            </w:tcBorders>
            <w:noWrap w:val="0"/>
            <w:vAlign w:val="center"/>
          </w:tcPr>
          <w:p w14:paraId="3D4DB562">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3A869CD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noWrap w:val="0"/>
            <w:vAlign w:val="center"/>
          </w:tcPr>
          <w:p w14:paraId="61D85F8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noWrap w:val="0"/>
            <w:vAlign w:val="center"/>
          </w:tcPr>
          <w:p w14:paraId="39376391">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noWrap w:val="0"/>
            <w:vAlign w:val="center"/>
          </w:tcPr>
          <w:p w14:paraId="7C6CA269">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vMerge w:val="continue"/>
            <w:tcBorders>
              <w:left w:val="single" w:color="auto" w:sz="4" w:space="0"/>
            </w:tcBorders>
            <w:noWrap w:val="0"/>
            <w:vAlign w:val="center"/>
          </w:tcPr>
          <w:p w14:paraId="17E09B3D">
            <w:pPr>
              <w:autoSpaceDN w:val="0"/>
              <w:spacing w:line="320" w:lineRule="exact"/>
              <w:jc w:val="center"/>
              <w:textAlignment w:val="center"/>
              <w:rPr>
                <w:rFonts w:hint="eastAsia" w:ascii="仿宋_GB2312" w:hAnsi="仿宋_GB2312" w:eastAsia="仿宋_GB2312" w:cs="仿宋_GB2312"/>
                <w:color w:val="000000"/>
                <w:sz w:val="24"/>
              </w:rPr>
            </w:pPr>
          </w:p>
        </w:tc>
      </w:tr>
      <w:tr w14:paraId="2EACFC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700" w:type="dxa"/>
            <w:gridSpan w:val="3"/>
            <w:noWrap w:val="0"/>
            <w:vAlign w:val="center"/>
          </w:tcPr>
          <w:p w14:paraId="3D005AF0">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14:paraId="3DF9318F">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467</w:t>
            </w:r>
          </w:p>
        </w:tc>
        <w:tc>
          <w:tcPr>
            <w:tcW w:w="1355" w:type="dxa"/>
            <w:gridSpan w:val="2"/>
            <w:tcBorders>
              <w:left w:val="single" w:color="auto" w:sz="4" w:space="0"/>
            </w:tcBorders>
            <w:noWrap w:val="0"/>
            <w:vAlign w:val="center"/>
          </w:tcPr>
          <w:p w14:paraId="09D90C94">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080" w:type="dxa"/>
            <w:gridSpan w:val="2"/>
            <w:noWrap w:val="0"/>
            <w:vAlign w:val="center"/>
          </w:tcPr>
          <w:p w14:paraId="5E3BD196">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248.65</w:t>
            </w:r>
          </w:p>
        </w:tc>
        <w:tc>
          <w:tcPr>
            <w:tcW w:w="2160" w:type="dxa"/>
            <w:gridSpan w:val="4"/>
            <w:noWrap w:val="0"/>
            <w:vAlign w:val="center"/>
          </w:tcPr>
          <w:p w14:paraId="42B76DD9">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61.37</w:t>
            </w:r>
          </w:p>
        </w:tc>
        <w:tc>
          <w:tcPr>
            <w:tcW w:w="1080" w:type="dxa"/>
            <w:noWrap w:val="0"/>
            <w:vAlign w:val="center"/>
          </w:tcPr>
          <w:p w14:paraId="7CDE596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720" w:type="dxa"/>
            <w:gridSpan w:val="3"/>
            <w:tcBorders>
              <w:right w:val="single" w:color="auto" w:sz="4" w:space="0"/>
            </w:tcBorders>
            <w:noWrap w:val="0"/>
            <w:vAlign w:val="center"/>
          </w:tcPr>
          <w:p w14:paraId="40628FD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0"/>
            <w:vAlign w:val="center"/>
          </w:tcPr>
          <w:p w14:paraId="00E634C2">
            <w:pPr>
              <w:autoSpaceDN w:val="0"/>
              <w:spacing w:line="320" w:lineRule="exact"/>
              <w:jc w:val="center"/>
              <w:textAlignment w:val="center"/>
              <w:rPr>
                <w:rFonts w:hint="eastAsia" w:ascii="仿宋_GB2312" w:hAnsi="仿宋_GB2312" w:eastAsia="仿宋_GB2312" w:cs="仿宋_GB2312"/>
                <w:color w:val="000000"/>
                <w:sz w:val="24"/>
              </w:rPr>
            </w:pPr>
          </w:p>
        </w:tc>
      </w:tr>
      <w:tr w14:paraId="23970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61F136E5">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14:paraId="6116C264">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467</w:t>
            </w:r>
          </w:p>
        </w:tc>
        <w:tc>
          <w:tcPr>
            <w:tcW w:w="1355" w:type="dxa"/>
            <w:gridSpan w:val="2"/>
            <w:tcBorders>
              <w:left w:val="single" w:color="auto" w:sz="4" w:space="0"/>
            </w:tcBorders>
            <w:noWrap w:val="0"/>
            <w:vAlign w:val="center"/>
          </w:tcPr>
          <w:p w14:paraId="722DF510">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467</w:t>
            </w:r>
          </w:p>
        </w:tc>
        <w:tc>
          <w:tcPr>
            <w:tcW w:w="1080" w:type="dxa"/>
            <w:gridSpan w:val="2"/>
            <w:noWrap w:val="0"/>
            <w:vAlign w:val="center"/>
          </w:tcPr>
          <w:p w14:paraId="3CD00EB2">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248.65</w:t>
            </w:r>
          </w:p>
        </w:tc>
        <w:tc>
          <w:tcPr>
            <w:tcW w:w="2160" w:type="dxa"/>
            <w:gridSpan w:val="4"/>
            <w:noWrap w:val="0"/>
            <w:vAlign w:val="center"/>
          </w:tcPr>
          <w:p w14:paraId="64607FAB">
            <w:pPr>
              <w:autoSpaceDN w:val="0"/>
              <w:spacing w:line="320" w:lineRule="exact"/>
              <w:jc w:val="center"/>
              <w:textAlignment w:val="center"/>
              <w:rPr>
                <w:rFonts w:hint="default"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61.37</w:t>
            </w:r>
          </w:p>
        </w:tc>
        <w:tc>
          <w:tcPr>
            <w:tcW w:w="1080" w:type="dxa"/>
            <w:noWrap w:val="0"/>
            <w:vAlign w:val="center"/>
          </w:tcPr>
          <w:p w14:paraId="187D1A9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720" w:type="dxa"/>
            <w:gridSpan w:val="3"/>
            <w:tcBorders>
              <w:right w:val="single" w:color="auto" w:sz="4" w:space="0"/>
            </w:tcBorders>
            <w:noWrap w:val="0"/>
            <w:vAlign w:val="center"/>
          </w:tcPr>
          <w:p w14:paraId="2935801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noWrap w:val="0"/>
            <w:vAlign w:val="center"/>
          </w:tcPr>
          <w:p w14:paraId="523BD9A0">
            <w:pPr>
              <w:autoSpaceDN w:val="0"/>
              <w:spacing w:line="320" w:lineRule="exact"/>
              <w:jc w:val="center"/>
              <w:textAlignment w:val="center"/>
              <w:rPr>
                <w:rFonts w:hint="eastAsia" w:ascii="仿宋_GB2312" w:hAnsi="仿宋_GB2312" w:eastAsia="仿宋_GB2312" w:cs="仿宋_GB2312"/>
                <w:color w:val="000000"/>
                <w:sz w:val="24"/>
              </w:rPr>
            </w:pPr>
          </w:p>
        </w:tc>
      </w:tr>
      <w:tr w14:paraId="70F6D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0EE8290F">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14:paraId="180A2C32">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06E409A1">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763E4B01">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14:paraId="5622D5EC">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14:paraId="5C485C3F">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14:paraId="2941EAEF">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14:paraId="0A88CD80">
            <w:pPr>
              <w:autoSpaceDN w:val="0"/>
              <w:spacing w:line="320" w:lineRule="exact"/>
              <w:jc w:val="center"/>
              <w:textAlignment w:val="center"/>
              <w:rPr>
                <w:rFonts w:hint="eastAsia" w:ascii="仿宋_GB2312" w:hAnsi="仿宋_GB2312" w:eastAsia="仿宋_GB2312" w:cs="仿宋_GB2312"/>
                <w:color w:val="000000"/>
                <w:sz w:val="24"/>
              </w:rPr>
            </w:pPr>
          </w:p>
        </w:tc>
      </w:tr>
      <w:tr w14:paraId="760C1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3CBCEC71">
            <w:pPr>
              <w:spacing w:line="320" w:lineRule="exact"/>
              <w:jc w:val="left"/>
              <w:rPr>
                <w:rFonts w:hint="eastAsia" w:ascii="仿宋_GB2312" w:hAnsi="仿宋_GB2312" w:eastAsia="仿宋_GB2312" w:cs="仿宋_GB2312"/>
                <w:color w:val="000000"/>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14:paraId="2937814B">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1E46CC3D">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6665AA50">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14:paraId="55878A97">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noWrap w:val="0"/>
            <w:vAlign w:val="center"/>
          </w:tcPr>
          <w:p w14:paraId="3CFA454C">
            <w:pPr>
              <w:autoSpaceDN w:val="0"/>
              <w:spacing w:line="320" w:lineRule="exact"/>
              <w:jc w:val="center"/>
              <w:textAlignment w:val="center"/>
              <w:rPr>
                <w:rFonts w:hint="eastAsia" w:ascii="仿宋_GB2312" w:hAnsi="仿宋_GB2312" w:eastAsia="仿宋_GB2312" w:cs="仿宋_GB2312"/>
                <w:color w:val="000000"/>
                <w:sz w:val="24"/>
              </w:rPr>
            </w:pPr>
          </w:p>
        </w:tc>
        <w:tc>
          <w:tcPr>
            <w:tcW w:w="720" w:type="dxa"/>
            <w:gridSpan w:val="3"/>
            <w:tcBorders>
              <w:right w:val="single" w:color="auto" w:sz="4" w:space="0"/>
            </w:tcBorders>
            <w:noWrap w:val="0"/>
            <w:vAlign w:val="center"/>
          </w:tcPr>
          <w:p w14:paraId="16BEE97C">
            <w:pPr>
              <w:autoSpaceDN w:val="0"/>
              <w:spacing w:line="320" w:lineRule="exact"/>
              <w:jc w:val="center"/>
              <w:textAlignment w:val="center"/>
              <w:rPr>
                <w:rFonts w:hint="eastAsia" w:ascii="仿宋_GB2312" w:hAnsi="仿宋_GB2312" w:eastAsia="仿宋_GB2312" w:cs="仿宋_GB2312"/>
                <w:color w:val="000000"/>
                <w:sz w:val="24"/>
              </w:rPr>
            </w:pPr>
          </w:p>
        </w:tc>
        <w:tc>
          <w:tcPr>
            <w:tcW w:w="625" w:type="dxa"/>
            <w:tcBorders>
              <w:left w:val="single" w:color="auto" w:sz="4" w:space="0"/>
            </w:tcBorders>
            <w:noWrap w:val="0"/>
            <w:vAlign w:val="center"/>
          </w:tcPr>
          <w:p w14:paraId="7F1B0D20">
            <w:pPr>
              <w:autoSpaceDN w:val="0"/>
              <w:spacing w:line="320" w:lineRule="exact"/>
              <w:jc w:val="center"/>
              <w:textAlignment w:val="center"/>
              <w:rPr>
                <w:rFonts w:hint="eastAsia" w:ascii="仿宋_GB2312" w:hAnsi="仿宋_GB2312" w:eastAsia="仿宋_GB2312" w:cs="仿宋_GB2312"/>
                <w:color w:val="000000"/>
                <w:sz w:val="24"/>
              </w:rPr>
            </w:pPr>
          </w:p>
        </w:tc>
      </w:tr>
      <w:tr w14:paraId="6EB8E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14:paraId="5F5A6AED">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14:paraId="6A44F14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14:paraId="71AC1CC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noWrap w:val="0"/>
            <w:vAlign w:val="center"/>
          </w:tcPr>
          <w:p w14:paraId="27A6617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14:paraId="40761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14:paraId="6AE8C850">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14:paraId="61C3D243">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7C7F79F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noWrap w:val="0"/>
            <w:vAlign w:val="center"/>
          </w:tcPr>
          <w:p w14:paraId="2D23229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noWrap w:val="0"/>
            <w:vAlign w:val="center"/>
          </w:tcPr>
          <w:p w14:paraId="398DC22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noWrap w:val="0"/>
            <w:vAlign w:val="center"/>
          </w:tcPr>
          <w:p w14:paraId="070C02B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14:paraId="036C0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700" w:type="dxa"/>
            <w:gridSpan w:val="3"/>
            <w:noWrap w:val="0"/>
            <w:vAlign w:val="center"/>
          </w:tcPr>
          <w:p w14:paraId="03B0C6C1">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14:paraId="153DD3A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5</w:t>
            </w:r>
          </w:p>
        </w:tc>
        <w:tc>
          <w:tcPr>
            <w:tcW w:w="1355" w:type="dxa"/>
            <w:gridSpan w:val="2"/>
            <w:tcBorders>
              <w:left w:val="single" w:color="auto" w:sz="4" w:space="0"/>
            </w:tcBorders>
            <w:noWrap w:val="0"/>
            <w:vAlign w:val="center"/>
          </w:tcPr>
          <w:p w14:paraId="626E1C5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5</w:t>
            </w:r>
          </w:p>
        </w:tc>
        <w:tc>
          <w:tcPr>
            <w:tcW w:w="1080" w:type="dxa"/>
            <w:gridSpan w:val="2"/>
            <w:noWrap w:val="0"/>
            <w:vAlign w:val="center"/>
          </w:tcPr>
          <w:p w14:paraId="3799F5A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0"/>
            <w:vAlign w:val="center"/>
          </w:tcPr>
          <w:p w14:paraId="3338E8E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0"/>
            <w:vAlign w:val="center"/>
          </w:tcPr>
          <w:p w14:paraId="1661BC0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14:paraId="335EFF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4F252237">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14:paraId="0DCA96D7">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5</w:t>
            </w:r>
          </w:p>
        </w:tc>
        <w:tc>
          <w:tcPr>
            <w:tcW w:w="1355" w:type="dxa"/>
            <w:gridSpan w:val="2"/>
            <w:tcBorders>
              <w:left w:val="single" w:color="auto" w:sz="4" w:space="0"/>
            </w:tcBorders>
            <w:noWrap w:val="0"/>
            <w:vAlign w:val="center"/>
          </w:tcPr>
          <w:p w14:paraId="4D521B1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10.</w:t>
            </w:r>
            <w:r>
              <w:rPr>
                <w:rFonts w:hint="eastAsia" w:ascii="仿宋_GB2312" w:hAnsi="仿宋_GB2312" w:eastAsia="仿宋_GB2312" w:cs="仿宋_GB2312"/>
                <w:color w:val="000000"/>
                <w:sz w:val="24"/>
                <w:lang w:val="en-US" w:eastAsia="zh-CN"/>
              </w:rPr>
              <w:t>1</w:t>
            </w:r>
            <w:r>
              <w:rPr>
                <w:rFonts w:hint="eastAsia" w:ascii="仿宋_GB2312" w:hAnsi="仿宋_GB2312" w:eastAsia="仿宋_GB2312" w:cs="仿宋_GB2312"/>
                <w:color w:val="000000"/>
                <w:sz w:val="24"/>
              </w:rPr>
              <w:t>5</w:t>
            </w:r>
          </w:p>
        </w:tc>
        <w:tc>
          <w:tcPr>
            <w:tcW w:w="1080" w:type="dxa"/>
            <w:gridSpan w:val="2"/>
            <w:noWrap w:val="0"/>
            <w:vAlign w:val="center"/>
          </w:tcPr>
          <w:p w14:paraId="4AD1D5E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noWrap w:val="0"/>
            <w:vAlign w:val="center"/>
          </w:tcPr>
          <w:p w14:paraId="2378941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noWrap w:val="0"/>
            <w:vAlign w:val="center"/>
          </w:tcPr>
          <w:p w14:paraId="04CDE78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14:paraId="5970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0C7DB860">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14:paraId="09E76724">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06F9B818">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0AF32A3A">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14:paraId="18A93C53">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14:paraId="18E020D8">
            <w:pPr>
              <w:autoSpaceDN w:val="0"/>
              <w:spacing w:line="320" w:lineRule="exact"/>
              <w:jc w:val="center"/>
              <w:textAlignment w:val="center"/>
              <w:rPr>
                <w:rFonts w:hint="eastAsia" w:ascii="仿宋_GB2312" w:hAnsi="仿宋_GB2312" w:eastAsia="仿宋_GB2312" w:cs="仿宋_GB2312"/>
                <w:color w:val="000000"/>
                <w:sz w:val="24"/>
              </w:rPr>
            </w:pPr>
          </w:p>
        </w:tc>
      </w:tr>
      <w:tr w14:paraId="7839B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1700" w:type="dxa"/>
            <w:gridSpan w:val="3"/>
            <w:noWrap w:val="0"/>
            <w:vAlign w:val="center"/>
          </w:tcPr>
          <w:p w14:paraId="1327263D">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14:paraId="65AFA443">
            <w:pPr>
              <w:autoSpaceDN w:val="0"/>
              <w:spacing w:line="320" w:lineRule="exact"/>
              <w:jc w:val="center"/>
              <w:textAlignment w:val="center"/>
              <w:rPr>
                <w:rFonts w:hint="eastAsia" w:ascii="仿宋_GB2312" w:hAnsi="仿宋_GB2312" w:eastAsia="仿宋_GB2312" w:cs="仿宋_GB2312"/>
                <w:color w:val="000000"/>
                <w:sz w:val="24"/>
              </w:rPr>
            </w:pPr>
          </w:p>
        </w:tc>
        <w:tc>
          <w:tcPr>
            <w:tcW w:w="1355" w:type="dxa"/>
            <w:gridSpan w:val="2"/>
            <w:tcBorders>
              <w:left w:val="single" w:color="auto" w:sz="4" w:space="0"/>
            </w:tcBorders>
            <w:noWrap w:val="0"/>
            <w:vAlign w:val="center"/>
          </w:tcPr>
          <w:p w14:paraId="4796086C">
            <w:pPr>
              <w:autoSpaceDN w:val="0"/>
              <w:spacing w:line="320" w:lineRule="exact"/>
              <w:jc w:val="center"/>
              <w:textAlignment w:val="center"/>
              <w:rPr>
                <w:rFonts w:hint="eastAsia" w:ascii="仿宋_GB2312" w:hAnsi="仿宋_GB2312" w:eastAsia="仿宋_GB2312" w:cs="仿宋_GB2312"/>
                <w:color w:val="000000"/>
                <w:sz w:val="24"/>
              </w:rPr>
            </w:pPr>
          </w:p>
        </w:tc>
        <w:tc>
          <w:tcPr>
            <w:tcW w:w="1080" w:type="dxa"/>
            <w:gridSpan w:val="2"/>
            <w:noWrap w:val="0"/>
            <w:vAlign w:val="center"/>
          </w:tcPr>
          <w:p w14:paraId="22F0DCCE">
            <w:pPr>
              <w:autoSpaceDN w:val="0"/>
              <w:spacing w:line="320" w:lineRule="exact"/>
              <w:jc w:val="center"/>
              <w:textAlignment w:val="center"/>
              <w:rPr>
                <w:rFonts w:hint="eastAsia" w:ascii="仿宋_GB2312" w:hAnsi="仿宋_GB2312" w:eastAsia="仿宋_GB2312" w:cs="仿宋_GB2312"/>
                <w:color w:val="000000"/>
                <w:sz w:val="24"/>
              </w:rPr>
            </w:pPr>
          </w:p>
        </w:tc>
        <w:tc>
          <w:tcPr>
            <w:tcW w:w="2160" w:type="dxa"/>
            <w:gridSpan w:val="4"/>
            <w:noWrap w:val="0"/>
            <w:vAlign w:val="center"/>
          </w:tcPr>
          <w:p w14:paraId="1C9404FB">
            <w:pPr>
              <w:autoSpaceDN w:val="0"/>
              <w:spacing w:line="320" w:lineRule="exact"/>
              <w:jc w:val="center"/>
              <w:textAlignment w:val="center"/>
              <w:rPr>
                <w:rFonts w:hint="eastAsia" w:ascii="仿宋_GB2312" w:hAnsi="仿宋_GB2312" w:eastAsia="仿宋_GB2312" w:cs="仿宋_GB2312"/>
                <w:color w:val="000000"/>
                <w:sz w:val="24"/>
              </w:rPr>
            </w:pPr>
          </w:p>
        </w:tc>
        <w:tc>
          <w:tcPr>
            <w:tcW w:w="2425" w:type="dxa"/>
            <w:gridSpan w:val="5"/>
            <w:noWrap w:val="0"/>
            <w:vAlign w:val="center"/>
          </w:tcPr>
          <w:p w14:paraId="28BB8939">
            <w:pPr>
              <w:autoSpaceDN w:val="0"/>
              <w:spacing w:line="320" w:lineRule="exact"/>
              <w:jc w:val="center"/>
              <w:textAlignment w:val="center"/>
              <w:rPr>
                <w:rFonts w:hint="eastAsia" w:ascii="仿宋_GB2312" w:hAnsi="仿宋_GB2312" w:eastAsia="仿宋_GB2312" w:cs="仿宋_GB2312"/>
                <w:color w:val="000000"/>
                <w:sz w:val="24"/>
              </w:rPr>
            </w:pPr>
          </w:p>
        </w:tc>
      </w:tr>
      <w:tr w14:paraId="6D705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restart"/>
            <w:noWrap w:val="0"/>
            <w:vAlign w:val="center"/>
          </w:tcPr>
          <w:p w14:paraId="214B249C">
            <w:pPr>
              <w:spacing w:line="32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noWrap w:val="0"/>
            <w:vAlign w:val="center"/>
          </w:tcPr>
          <w:p w14:paraId="32B5DAA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14:paraId="771C499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noWrap w:val="0"/>
            <w:vAlign w:val="center"/>
          </w:tcPr>
          <w:p w14:paraId="10BA995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noWrap w:val="0"/>
            <w:vAlign w:val="center"/>
          </w:tcPr>
          <w:p w14:paraId="57BC649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14:paraId="0D7674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vMerge w:val="continue"/>
            <w:noWrap w:val="0"/>
            <w:vAlign w:val="center"/>
          </w:tcPr>
          <w:p w14:paraId="68D78814">
            <w:pPr>
              <w:spacing w:line="320" w:lineRule="exact"/>
              <w:jc w:val="center"/>
              <w:rPr>
                <w:rFonts w:hint="eastAsia" w:ascii="仿宋_GB2312" w:hAnsi="仿宋_GB2312" w:eastAsia="仿宋_GB2312" w:cs="仿宋_GB2312"/>
                <w:sz w:val="24"/>
              </w:rPr>
            </w:pPr>
          </w:p>
        </w:tc>
        <w:tc>
          <w:tcPr>
            <w:tcW w:w="1080" w:type="dxa"/>
            <w:vMerge w:val="continue"/>
            <w:tcBorders>
              <w:right w:val="single" w:color="auto" w:sz="4" w:space="0"/>
            </w:tcBorders>
            <w:noWrap w:val="0"/>
            <w:vAlign w:val="center"/>
          </w:tcPr>
          <w:p w14:paraId="32360AD8">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14:paraId="4245E3B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noWrap w:val="0"/>
            <w:vAlign w:val="center"/>
          </w:tcPr>
          <w:p w14:paraId="4447E9B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noWrap w:val="0"/>
            <w:vAlign w:val="center"/>
          </w:tcPr>
          <w:p w14:paraId="057F2B41">
            <w:pPr>
              <w:autoSpaceDN w:val="0"/>
              <w:spacing w:line="320" w:lineRule="exact"/>
              <w:jc w:val="center"/>
              <w:textAlignment w:val="center"/>
              <w:rPr>
                <w:rFonts w:hint="eastAsia" w:ascii="仿宋_GB2312" w:hAnsi="仿宋_GB2312" w:eastAsia="仿宋_GB2312" w:cs="仿宋_GB2312"/>
                <w:color w:val="000000"/>
                <w:sz w:val="24"/>
              </w:rPr>
            </w:pPr>
          </w:p>
        </w:tc>
      </w:tr>
      <w:tr w14:paraId="1C76A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700" w:type="dxa"/>
            <w:gridSpan w:val="3"/>
            <w:noWrap w:val="0"/>
            <w:vAlign w:val="center"/>
          </w:tcPr>
          <w:p w14:paraId="76E717BB">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color w:val="000000"/>
                <w:sz w:val="24"/>
              </w:rPr>
              <w:t>局机关及二级机构汇总</w:t>
            </w:r>
          </w:p>
        </w:tc>
        <w:tc>
          <w:tcPr>
            <w:tcW w:w="1080" w:type="dxa"/>
            <w:tcBorders>
              <w:right w:val="single" w:color="auto" w:sz="4" w:space="0"/>
            </w:tcBorders>
            <w:noWrap w:val="0"/>
            <w:vAlign w:val="center"/>
          </w:tcPr>
          <w:p w14:paraId="478D2413">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49.89</w:t>
            </w:r>
          </w:p>
        </w:tc>
        <w:tc>
          <w:tcPr>
            <w:tcW w:w="2435" w:type="dxa"/>
            <w:gridSpan w:val="4"/>
            <w:tcBorders>
              <w:left w:val="single" w:color="auto" w:sz="4" w:space="0"/>
            </w:tcBorders>
            <w:noWrap w:val="0"/>
            <w:vAlign w:val="center"/>
          </w:tcPr>
          <w:p w14:paraId="4281EE8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49.89</w:t>
            </w:r>
          </w:p>
        </w:tc>
        <w:tc>
          <w:tcPr>
            <w:tcW w:w="3644" w:type="dxa"/>
            <w:gridSpan w:val="7"/>
            <w:noWrap w:val="0"/>
            <w:vAlign w:val="center"/>
          </w:tcPr>
          <w:p w14:paraId="199AAD3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0"/>
            <w:vAlign w:val="center"/>
          </w:tcPr>
          <w:p w14:paraId="3D24486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14:paraId="0129D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006C956F">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1、局机关</w:t>
            </w:r>
          </w:p>
        </w:tc>
        <w:tc>
          <w:tcPr>
            <w:tcW w:w="1080" w:type="dxa"/>
            <w:tcBorders>
              <w:right w:val="single" w:color="auto" w:sz="4" w:space="0"/>
            </w:tcBorders>
            <w:noWrap w:val="0"/>
            <w:vAlign w:val="center"/>
          </w:tcPr>
          <w:p w14:paraId="58B0502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49.89</w:t>
            </w:r>
          </w:p>
        </w:tc>
        <w:tc>
          <w:tcPr>
            <w:tcW w:w="2435" w:type="dxa"/>
            <w:gridSpan w:val="4"/>
            <w:tcBorders>
              <w:left w:val="single" w:color="auto" w:sz="4" w:space="0"/>
            </w:tcBorders>
            <w:noWrap w:val="0"/>
            <w:vAlign w:val="center"/>
          </w:tcPr>
          <w:p w14:paraId="68A9DA6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49.89</w:t>
            </w:r>
          </w:p>
        </w:tc>
        <w:tc>
          <w:tcPr>
            <w:tcW w:w="3644" w:type="dxa"/>
            <w:gridSpan w:val="7"/>
            <w:noWrap w:val="0"/>
            <w:vAlign w:val="center"/>
          </w:tcPr>
          <w:p w14:paraId="4ED793F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noWrap w:val="0"/>
            <w:vAlign w:val="center"/>
          </w:tcPr>
          <w:p w14:paraId="7D05463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14:paraId="09C19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736C3D84">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2、二级机构1</w:t>
            </w:r>
          </w:p>
        </w:tc>
        <w:tc>
          <w:tcPr>
            <w:tcW w:w="1080" w:type="dxa"/>
            <w:tcBorders>
              <w:right w:val="single" w:color="auto" w:sz="4" w:space="0"/>
            </w:tcBorders>
            <w:noWrap w:val="0"/>
            <w:vAlign w:val="center"/>
          </w:tcPr>
          <w:p w14:paraId="5B8A0C36">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14:paraId="143CD92D">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14:paraId="53036038">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14:paraId="5823AA42">
            <w:pPr>
              <w:autoSpaceDN w:val="0"/>
              <w:spacing w:line="320" w:lineRule="exact"/>
              <w:jc w:val="center"/>
              <w:textAlignment w:val="center"/>
              <w:rPr>
                <w:rFonts w:hint="eastAsia" w:ascii="仿宋_GB2312" w:hAnsi="仿宋_GB2312" w:eastAsia="仿宋_GB2312" w:cs="仿宋_GB2312"/>
                <w:color w:val="000000"/>
                <w:sz w:val="24"/>
              </w:rPr>
            </w:pPr>
          </w:p>
        </w:tc>
      </w:tr>
      <w:tr w14:paraId="1F5C6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700" w:type="dxa"/>
            <w:gridSpan w:val="3"/>
            <w:noWrap w:val="0"/>
            <w:vAlign w:val="center"/>
          </w:tcPr>
          <w:p w14:paraId="7981E6EE">
            <w:pPr>
              <w:spacing w:line="32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rPr>
              <w:t>3、二级机构2</w:t>
            </w:r>
          </w:p>
        </w:tc>
        <w:tc>
          <w:tcPr>
            <w:tcW w:w="1080" w:type="dxa"/>
            <w:tcBorders>
              <w:right w:val="single" w:color="auto" w:sz="4" w:space="0"/>
            </w:tcBorders>
            <w:noWrap w:val="0"/>
            <w:vAlign w:val="center"/>
          </w:tcPr>
          <w:p w14:paraId="5F911C37">
            <w:pPr>
              <w:autoSpaceDN w:val="0"/>
              <w:spacing w:line="320" w:lineRule="exact"/>
              <w:jc w:val="center"/>
              <w:textAlignment w:val="center"/>
              <w:rPr>
                <w:rFonts w:hint="eastAsia" w:ascii="仿宋_GB2312" w:hAnsi="仿宋_GB2312" w:eastAsia="仿宋_GB2312" w:cs="仿宋_GB2312"/>
                <w:color w:val="000000"/>
                <w:sz w:val="24"/>
              </w:rPr>
            </w:pPr>
          </w:p>
        </w:tc>
        <w:tc>
          <w:tcPr>
            <w:tcW w:w="2435" w:type="dxa"/>
            <w:gridSpan w:val="4"/>
            <w:tcBorders>
              <w:left w:val="single" w:color="auto" w:sz="4" w:space="0"/>
            </w:tcBorders>
            <w:noWrap w:val="0"/>
            <w:vAlign w:val="center"/>
          </w:tcPr>
          <w:p w14:paraId="02AD11DF">
            <w:pPr>
              <w:autoSpaceDN w:val="0"/>
              <w:spacing w:line="320" w:lineRule="exact"/>
              <w:jc w:val="center"/>
              <w:textAlignment w:val="center"/>
              <w:rPr>
                <w:rFonts w:hint="eastAsia" w:ascii="仿宋_GB2312" w:hAnsi="仿宋_GB2312" w:eastAsia="仿宋_GB2312" w:cs="仿宋_GB2312"/>
                <w:color w:val="000000"/>
                <w:sz w:val="24"/>
              </w:rPr>
            </w:pPr>
          </w:p>
        </w:tc>
        <w:tc>
          <w:tcPr>
            <w:tcW w:w="3644" w:type="dxa"/>
            <w:gridSpan w:val="7"/>
            <w:noWrap w:val="0"/>
            <w:vAlign w:val="center"/>
          </w:tcPr>
          <w:p w14:paraId="5D35C2BE">
            <w:pPr>
              <w:autoSpaceDN w:val="0"/>
              <w:spacing w:line="320" w:lineRule="exact"/>
              <w:jc w:val="center"/>
              <w:textAlignment w:val="center"/>
              <w:rPr>
                <w:rFonts w:hint="eastAsia" w:ascii="仿宋_GB2312" w:hAnsi="仿宋_GB2312" w:eastAsia="仿宋_GB2312" w:cs="仿宋_GB2312"/>
                <w:color w:val="000000"/>
                <w:sz w:val="24"/>
              </w:rPr>
            </w:pPr>
          </w:p>
        </w:tc>
        <w:tc>
          <w:tcPr>
            <w:tcW w:w="941" w:type="dxa"/>
            <w:gridSpan w:val="2"/>
            <w:noWrap w:val="0"/>
            <w:vAlign w:val="center"/>
          </w:tcPr>
          <w:p w14:paraId="6EC4ACA8">
            <w:pPr>
              <w:autoSpaceDN w:val="0"/>
              <w:spacing w:line="320" w:lineRule="exact"/>
              <w:jc w:val="center"/>
              <w:textAlignment w:val="center"/>
              <w:rPr>
                <w:rFonts w:hint="eastAsia" w:ascii="仿宋_GB2312" w:hAnsi="仿宋_GB2312" w:eastAsia="仿宋_GB2312" w:cs="仿宋_GB2312"/>
                <w:color w:val="000000"/>
                <w:sz w:val="24"/>
              </w:rPr>
            </w:pPr>
          </w:p>
        </w:tc>
      </w:tr>
      <w:tr w14:paraId="595A2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14:paraId="6B3FF29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14:paraId="63D69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14:paraId="7A1B3B5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noWrap w:val="0"/>
            <w:vAlign w:val="center"/>
          </w:tcPr>
          <w:p w14:paraId="1F0CA4E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noWrap w:val="0"/>
            <w:vAlign w:val="center"/>
          </w:tcPr>
          <w:p w14:paraId="0071F71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14:paraId="02230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172" w:hRule="atLeast"/>
          <w:jc w:val="center"/>
        </w:trPr>
        <w:tc>
          <w:tcPr>
            <w:tcW w:w="1441" w:type="dxa"/>
            <w:vMerge w:val="continue"/>
            <w:noWrap w:val="0"/>
            <w:vAlign w:val="center"/>
          </w:tcPr>
          <w:p w14:paraId="4517CC19">
            <w:pPr>
              <w:spacing w:line="320" w:lineRule="exact"/>
              <w:rPr>
                <w:rFonts w:hint="eastAsia" w:ascii="仿宋_GB2312" w:hAnsi="仿宋_GB2312" w:eastAsia="仿宋_GB2312" w:cs="仿宋_GB2312"/>
                <w:sz w:val="24"/>
              </w:rPr>
            </w:pPr>
          </w:p>
        </w:tc>
        <w:tc>
          <w:tcPr>
            <w:tcW w:w="3774" w:type="dxa"/>
            <w:gridSpan w:val="7"/>
            <w:noWrap w:val="0"/>
            <w:vAlign w:val="center"/>
          </w:tcPr>
          <w:p w14:paraId="57061193">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目标1：工会组织建设</w:t>
            </w:r>
          </w:p>
          <w:p w14:paraId="21ED7BA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目标2：维权保障工作</w:t>
            </w:r>
          </w:p>
          <w:p w14:paraId="5ECC8120">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目标3：经济技术工作</w:t>
            </w:r>
          </w:p>
          <w:p w14:paraId="4BA26F63">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目标4：女工工作</w:t>
            </w:r>
          </w:p>
          <w:p w14:paraId="0FA4C279">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目标5：民主管理工作</w:t>
            </w:r>
          </w:p>
          <w:p w14:paraId="51ED9CF2">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目标6：财务经审工作</w:t>
            </w:r>
          </w:p>
          <w:p w14:paraId="60AC14C7">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目标7：工会活动开展</w:t>
            </w:r>
          </w:p>
        </w:tc>
        <w:tc>
          <w:tcPr>
            <w:tcW w:w="4585" w:type="dxa"/>
            <w:gridSpan w:val="9"/>
            <w:noWrap w:val="0"/>
            <w:vAlign w:val="center"/>
          </w:tcPr>
          <w:p w14:paraId="649472D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完成预期目标</w:t>
            </w:r>
          </w:p>
        </w:tc>
      </w:tr>
      <w:tr w14:paraId="6555A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1" w:type="dxa"/>
            <w:vMerge w:val="restart"/>
            <w:noWrap w:val="0"/>
            <w:vAlign w:val="center"/>
          </w:tcPr>
          <w:p w14:paraId="5E3785A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14:paraId="416E978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noWrap w:val="0"/>
            <w:vAlign w:val="center"/>
          </w:tcPr>
          <w:p w14:paraId="388EA5F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noWrap w:val="0"/>
            <w:vAlign w:val="center"/>
          </w:tcPr>
          <w:p w14:paraId="6477F5C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noWrap w:val="0"/>
            <w:vAlign w:val="center"/>
          </w:tcPr>
          <w:p w14:paraId="3B8D94D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完成情况</w:t>
            </w:r>
          </w:p>
        </w:tc>
      </w:tr>
      <w:tr w14:paraId="0665F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9F22102">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14:paraId="2D75B54F">
            <w:pPr>
              <w:autoSpaceDN w:val="0"/>
              <w:spacing w:line="320" w:lineRule="exact"/>
              <w:jc w:val="center"/>
              <w:textAlignment w:val="center"/>
              <w:rPr>
                <w:rFonts w:hint="eastAsia" w:ascii="仿宋_GB2312" w:hAnsi="仿宋_GB2312" w:eastAsia="仿宋_GB2312" w:cs="仿宋_GB2312"/>
                <w:color w:val="000000"/>
                <w:sz w:val="24"/>
              </w:rPr>
            </w:pPr>
          </w:p>
          <w:p w14:paraId="246B0FED">
            <w:pPr>
              <w:autoSpaceDN w:val="0"/>
              <w:spacing w:line="320" w:lineRule="exact"/>
              <w:jc w:val="center"/>
              <w:textAlignment w:val="center"/>
              <w:rPr>
                <w:rFonts w:hint="eastAsia" w:ascii="仿宋_GB2312" w:hAnsi="仿宋_GB2312" w:eastAsia="仿宋_GB2312" w:cs="仿宋_GB2312"/>
                <w:color w:val="000000"/>
                <w:sz w:val="24"/>
              </w:rPr>
            </w:pPr>
          </w:p>
          <w:p w14:paraId="2C780547">
            <w:pPr>
              <w:autoSpaceDN w:val="0"/>
              <w:spacing w:line="320" w:lineRule="exact"/>
              <w:jc w:val="center"/>
              <w:textAlignment w:val="center"/>
              <w:rPr>
                <w:rFonts w:hint="eastAsia" w:ascii="仿宋_GB2312" w:hAnsi="仿宋_GB2312" w:eastAsia="仿宋_GB2312" w:cs="仿宋_GB2312"/>
                <w:color w:val="000000"/>
                <w:sz w:val="24"/>
              </w:rPr>
            </w:pPr>
          </w:p>
          <w:p w14:paraId="3783AE5F">
            <w:pPr>
              <w:autoSpaceDN w:val="0"/>
              <w:spacing w:line="320" w:lineRule="exact"/>
              <w:jc w:val="center"/>
              <w:textAlignment w:val="center"/>
              <w:rPr>
                <w:rFonts w:hint="eastAsia" w:ascii="仿宋_GB2312" w:hAnsi="仿宋_GB2312" w:eastAsia="仿宋_GB2312" w:cs="仿宋_GB2312"/>
                <w:color w:val="000000"/>
                <w:sz w:val="24"/>
              </w:rPr>
            </w:pPr>
          </w:p>
          <w:p w14:paraId="540F845A">
            <w:pPr>
              <w:autoSpaceDN w:val="0"/>
              <w:spacing w:line="320" w:lineRule="exact"/>
              <w:jc w:val="center"/>
              <w:textAlignment w:val="center"/>
              <w:rPr>
                <w:rFonts w:hint="eastAsia" w:ascii="仿宋_GB2312" w:hAnsi="仿宋_GB2312" w:eastAsia="仿宋_GB2312" w:cs="仿宋_GB2312"/>
                <w:color w:val="000000"/>
                <w:sz w:val="24"/>
              </w:rPr>
            </w:pPr>
          </w:p>
          <w:p w14:paraId="3A2F5DE0">
            <w:pPr>
              <w:autoSpaceDN w:val="0"/>
              <w:spacing w:line="320" w:lineRule="exact"/>
              <w:jc w:val="center"/>
              <w:textAlignment w:val="center"/>
              <w:rPr>
                <w:rFonts w:hint="eastAsia" w:ascii="仿宋_GB2312" w:hAnsi="仿宋_GB2312" w:eastAsia="仿宋_GB2312" w:cs="仿宋_GB2312"/>
                <w:color w:val="000000"/>
                <w:sz w:val="24"/>
              </w:rPr>
            </w:pPr>
          </w:p>
          <w:p w14:paraId="66902DA3">
            <w:pPr>
              <w:autoSpaceDN w:val="0"/>
              <w:spacing w:line="320" w:lineRule="exact"/>
              <w:jc w:val="center"/>
              <w:textAlignment w:val="center"/>
              <w:rPr>
                <w:rFonts w:hint="eastAsia" w:ascii="仿宋_GB2312" w:hAnsi="仿宋_GB2312" w:eastAsia="仿宋_GB2312" w:cs="仿宋_GB2312"/>
                <w:color w:val="000000"/>
                <w:sz w:val="24"/>
              </w:rPr>
            </w:pPr>
          </w:p>
          <w:p w14:paraId="4C5D0746">
            <w:pPr>
              <w:autoSpaceDN w:val="0"/>
              <w:spacing w:line="320" w:lineRule="exact"/>
              <w:jc w:val="center"/>
              <w:textAlignment w:val="center"/>
              <w:rPr>
                <w:rFonts w:hint="eastAsia" w:ascii="仿宋_GB2312" w:hAnsi="仿宋_GB2312" w:eastAsia="仿宋_GB2312" w:cs="仿宋_GB2312"/>
                <w:color w:val="000000"/>
                <w:sz w:val="24"/>
              </w:rPr>
            </w:pPr>
          </w:p>
          <w:p w14:paraId="665F5B4C">
            <w:pPr>
              <w:autoSpaceDN w:val="0"/>
              <w:spacing w:line="320" w:lineRule="exact"/>
              <w:jc w:val="center"/>
              <w:textAlignment w:val="center"/>
              <w:rPr>
                <w:rFonts w:hint="eastAsia" w:ascii="仿宋_GB2312" w:hAnsi="仿宋_GB2312" w:eastAsia="仿宋_GB2312" w:cs="仿宋_GB2312"/>
                <w:color w:val="000000"/>
                <w:sz w:val="24"/>
              </w:rPr>
            </w:pPr>
          </w:p>
          <w:p w14:paraId="7E80B322">
            <w:pPr>
              <w:autoSpaceDN w:val="0"/>
              <w:spacing w:line="320" w:lineRule="exact"/>
              <w:jc w:val="center"/>
              <w:textAlignment w:val="center"/>
              <w:rPr>
                <w:rFonts w:hint="eastAsia" w:ascii="仿宋_GB2312" w:hAnsi="仿宋_GB2312" w:eastAsia="仿宋_GB2312" w:cs="仿宋_GB2312"/>
                <w:color w:val="000000"/>
                <w:sz w:val="24"/>
              </w:rPr>
            </w:pPr>
          </w:p>
          <w:p w14:paraId="773308E3">
            <w:pPr>
              <w:autoSpaceDN w:val="0"/>
              <w:spacing w:line="320" w:lineRule="exact"/>
              <w:jc w:val="center"/>
              <w:textAlignment w:val="center"/>
              <w:rPr>
                <w:rFonts w:hint="eastAsia" w:ascii="仿宋_GB2312" w:hAnsi="仿宋_GB2312" w:eastAsia="仿宋_GB2312" w:cs="仿宋_GB2312"/>
                <w:color w:val="000000"/>
                <w:sz w:val="24"/>
              </w:rPr>
            </w:pPr>
          </w:p>
          <w:p w14:paraId="76D31C2A">
            <w:pPr>
              <w:autoSpaceDN w:val="0"/>
              <w:spacing w:line="320" w:lineRule="exact"/>
              <w:jc w:val="center"/>
              <w:textAlignment w:val="center"/>
              <w:rPr>
                <w:rFonts w:hint="eastAsia" w:ascii="仿宋_GB2312" w:hAnsi="仿宋_GB2312" w:eastAsia="仿宋_GB2312" w:cs="仿宋_GB2312"/>
                <w:color w:val="000000"/>
                <w:sz w:val="24"/>
              </w:rPr>
            </w:pPr>
          </w:p>
          <w:p w14:paraId="48FF95C9">
            <w:pPr>
              <w:autoSpaceDN w:val="0"/>
              <w:spacing w:line="320" w:lineRule="exact"/>
              <w:jc w:val="center"/>
              <w:textAlignment w:val="center"/>
              <w:rPr>
                <w:rFonts w:hint="eastAsia" w:ascii="仿宋_GB2312" w:hAnsi="仿宋_GB2312" w:eastAsia="仿宋_GB2312" w:cs="仿宋_GB2312"/>
                <w:color w:val="000000"/>
                <w:sz w:val="24"/>
              </w:rPr>
            </w:pPr>
          </w:p>
          <w:p w14:paraId="770A39C7">
            <w:pPr>
              <w:autoSpaceDN w:val="0"/>
              <w:spacing w:line="320" w:lineRule="exact"/>
              <w:jc w:val="center"/>
              <w:textAlignment w:val="center"/>
              <w:rPr>
                <w:rFonts w:hint="eastAsia" w:ascii="仿宋_GB2312" w:hAnsi="仿宋_GB2312" w:eastAsia="仿宋_GB2312" w:cs="仿宋_GB2312"/>
                <w:color w:val="000000"/>
                <w:sz w:val="24"/>
              </w:rPr>
            </w:pPr>
          </w:p>
          <w:p w14:paraId="7C01DA11">
            <w:pPr>
              <w:autoSpaceDN w:val="0"/>
              <w:spacing w:line="320" w:lineRule="exact"/>
              <w:jc w:val="center"/>
              <w:textAlignment w:val="center"/>
              <w:rPr>
                <w:rFonts w:hint="eastAsia" w:ascii="仿宋_GB2312" w:hAnsi="仿宋_GB2312" w:eastAsia="仿宋_GB2312" w:cs="仿宋_GB2312"/>
                <w:color w:val="000000"/>
                <w:sz w:val="24"/>
              </w:rPr>
            </w:pPr>
          </w:p>
          <w:p w14:paraId="5B99DD76">
            <w:pPr>
              <w:autoSpaceDN w:val="0"/>
              <w:spacing w:line="320" w:lineRule="exact"/>
              <w:jc w:val="center"/>
              <w:textAlignment w:val="center"/>
              <w:rPr>
                <w:rFonts w:hint="eastAsia" w:ascii="仿宋_GB2312" w:hAnsi="仿宋_GB2312" w:eastAsia="仿宋_GB2312" w:cs="仿宋_GB2312"/>
                <w:color w:val="000000"/>
                <w:sz w:val="24"/>
              </w:rPr>
            </w:pPr>
          </w:p>
          <w:p w14:paraId="36BED3F1">
            <w:pPr>
              <w:autoSpaceDN w:val="0"/>
              <w:spacing w:line="320" w:lineRule="exact"/>
              <w:jc w:val="center"/>
              <w:textAlignment w:val="center"/>
              <w:rPr>
                <w:rFonts w:hint="eastAsia" w:ascii="仿宋_GB2312" w:hAnsi="仿宋_GB2312" w:eastAsia="仿宋_GB2312" w:cs="仿宋_GB2312"/>
                <w:color w:val="000000"/>
                <w:sz w:val="24"/>
              </w:rPr>
            </w:pPr>
          </w:p>
          <w:p w14:paraId="2B0C3382">
            <w:pPr>
              <w:autoSpaceDN w:val="0"/>
              <w:spacing w:line="320" w:lineRule="exact"/>
              <w:jc w:val="center"/>
              <w:textAlignment w:val="center"/>
              <w:rPr>
                <w:rFonts w:hint="eastAsia" w:ascii="仿宋_GB2312" w:hAnsi="仿宋_GB2312" w:eastAsia="仿宋_GB2312" w:cs="仿宋_GB2312"/>
                <w:color w:val="000000"/>
                <w:sz w:val="24"/>
              </w:rPr>
            </w:pPr>
          </w:p>
          <w:p w14:paraId="0F71857D">
            <w:pPr>
              <w:autoSpaceDN w:val="0"/>
              <w:spacing w:line="320" w:lineRule="exact"/>
              <w:jc w:val="center"/>
              <w:textAlignment w:val="center"/>
              <w:rPr>
                <w:rFonts w:hint="eastAsia" w:ascii="仿宋_GB2312" w:hAnsi="仿宋_GB2312" w:eastAsia="仿宋_GB2312" w:cs="仿宋_GB2312"/>
                <w:color w:val="000000"/>
                <w:sz w:val="24"/>
              </w:rPr>
            </w:pPr>
          </w:p>
          <w:p w14:paraId="32E8752C">
            <w:pPr>
              <w:autoSpaceDN w:val="0"/>
              <w:spacing w:line="320" w:lineRule="exact"/>
              <w:jc w:val="center"/>
              <w:textAlignment w:val="center"/>
              <w:rPr>
                <w:rFonts w:hint="eastAsia" w:ascii="仿宋_GB2312" w:hAnsi="仿宋_GB2312" w:eastAsia="仿宋_GB2312" w:cs="仿宋_GB2312"/>
                <w:color w:val="000000"/>
                <w:sz w:val="24"/>
              </w:rPr>
            </w:pPr>
          </w:p>
          <w:p w14:paraId="5B590355">
            <w:pPr>
              <w:autoSpaceDN w:val="0"/>
              <w:spacing w:line="320" w:lineRule="exact"/>
              <w:jc w:val="center"/>
              <w:textAlignment w:val="center"/>
              <w:rPr>
                <w:rFonts w:hint="eastAsia" w:ascii="仿宋_GB2312" w:hAnsi="仿宋_GB2312" w:eastAsia="仿宋_GB2312" w:cs="仿宋_GB2312"/>
                <w:color w:val="000000"/>
                <w:sz w:val="24"/>
              </w:rPr>
            </w:pPr>
          </w:p>
          <w:p w14:paraId="3CF94ECD">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14:paraId="4F8774E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（部门工作实绩，包含上级部门和市委市政府布置的重点工作、实事任务等，根据部门实际进行调整细化）</w:t>
            </w:r>
          </w:p>
        </w:tc>
        <w:tc>
          <w:tcPr>
            <w:tcW w:w="1417" w:type="dxa"/>
            <w:gridSpan w:val="2"/>
            <w:vMerge w:val="restart"/>
            <w:noWrap w:val="0"/>
            <w:vAlign w:val="center"/>
          </w:tcPr>
          <w:p w14:paraId="2CE4FAF8">
            <w:pPr>
              <w:autoSpaceDN w:val="0"/>
              <w:spacing w:line="320" w:lineRule="exact"/>
              <w:jc w:val="center"/>
              <w:textAlignment w:val="center"/>
              <w:rPr>
                <w:rFonts w:hint="eastAsia" w:ascii="仿宋_GB2312" w:hAnsi="仿宋_GB2312" w:eastAsia="仿宋_GB2312" w:cs="仿宋_GB2312"/>
                <w:color w:val="000000"/>
                <w:sz w:val="24"/>
              </w:rPr>
            </w:pPr>
          </w:p>
          <w:p w14:paraId="0F87A094">
            <w:pPr>
              <w:autoSpaceDN w:val="0"/>
              <w:spacing w:line="320" w:lineRule="exact"/>
              <w:jc w:val="center"/>
              <w:textAlignment w:val="center"/>
              <w:rPr>
                <w:rFonts w:hint="eastAsia" w:ascii="仿宋_GB2312" w:hAnsi="仿宋_GB2312" w:eastAsia="仿宋_GB2312" w:cs="仿宋_GB2312"/>
                <w:color w:val="000000"/>
                <w:sz w:val="24"/>
              </w:rPr>
            </w:pPr>
          </w:p>
          <w:p w14:paraId="0E64FD4B">
            <w:pPr>
              <w:autoSpaceDN w:val="0"/>
              <w:spacing w:line="320" w:lineRule="exac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p w14:paraId="2589AB21">
            <w:pPr>
              <w:autoSpaceDN w:val="0"/>
              <w:spacing w:line="320" w:lineRule="exact"/>
              <w:jc w:val="center"/>
              <w:textAlignment w:val="center"/>
              <w:rPr>
                <w:rFonts w:hint="eastAsia" w:ascii="仿宋_GB2312" w:hAnsi="仿宋_GB2312" w:eastAsia="仿宋_GB2312" w:cs="仿宋_GB2312"/>
                <w:color w:val="000000"/>
                <w:sz w:val="24"/>
              </w:rPr>
            </w:pPr>
          </w:p>
          <w:p w14:paraId="784D2902">
            <w:pPr>
              <w:autoSpaceDN w:val="0"/>
              <w:spacing w:line="320" w:lineRule="exact"/>
              <w:jc w:val="center"/>
              <w:textAlignment w:val="center"/>
              <w:rPr>
                <w:rFonts w:hint="eastAsia" w:ascii="仿宋_GB2312" w:hAnsi="仿宋_GB2312" w:eastAsia="仿宋_GB2312" w:cs="仿宋_GB2312"/>
                <w:color w:val="000000"/>
                <w:sz w:val="24"/>
              </w:rPr>
            </w:pPr>
          </w:p>
          <w:p w14:paraId="5BA6D7D5">
            <w:pPr>
              <w:autoSpaceDN w:val="0"/>
              <w:spacing w:line="320" w:lineRule="exact"/>
              <w:jc w:val="center"/>
              <w:textAlignment w:val="center"/>
              <w:rPr>
                <w:rFonts w:hint="eastAsia" w:ascii="仿宋_GB2312" w:hAnsi="仿宋_GB2312" w:eastAsia="仿宋_GB2312" w:cs="仿宋_GB2312"/>
                <w:color w:val="000000"/>
                <w:sz w:val="24"/>
              </w:rPr>
            </w:pPr>
          </w:p>
          <w:p w14:paraId="6D7979EA">
            <w:pPr>
              <w:autoSpaceDN w:val="0"/>
              <w:spacing w:line="320" w:lineRule="exact"/>
              <w:jc w:val="center"/>
              <w:textAlignment w:val="center"/>
              <w:rPr>
                <w:rFonts w:hint="eastAsia" w:ascii="仿宋_GB2312" w:hAnsi="仿宋_GB2312" w:eastAsia="仿宋_GB2312" w:cs="仿宋_GB2312"/>
                <w:color w:val="000000"/>
                <w:sz w:val="24"/>
              </w:rPr>
            </w:pPr>
          </w:p>
          <w:p w14:paraId="49F839BC">
            <w:pPr>
              <w:autoSpaceDN w:val="0"/>
              <w:spacing w:line="320" w:lineRule="exact"/>
              <w:jc w:val="center"/>
              <w:textAlignment w:val="center"/>
              <w:rPr>
                <w:rFonts w:hint="eastAsia" w:ascii="仿宋_GB2312" w:hAnsi="仿宋_GB2312" w:eastAsia="仿宋_GB2312" w:cs="仿宋_GB2312"/>
                <w:color w:val="000000"/>
                <w:sz w:val="24"/>
              </w:rPr>
            </w:pPr>
          </w:p>
          <w:p w14:paraId="2C63AF5F">
            <w:pPr>
              <w:autoSpaceDN w:val="0"/>
              <w:spacing w:line="320" w:lineRule="exact"/>
              <w:jc w:val="center"/>
              <w:textAlignment w:val="center"/>
              <w:rPr>
                <w:rFonts w:hint="eastAsia" w:ascii="仿宋_GB2312" w:hAnsi="仿宋_GB2312" w:eastAsia="仿宋_GB2312" w:cs="仿宋_GB2312"/>
                <w:color w:val="000000"/>
                <w:sz w:val="24"/>
              </w:rPr>
            </w:pPr>
          </w:p>
          <w:p w14:paraId="4FC8B2B0">
            <w:pPr>
              <w:autoSpaceDN w:val="0"/>
              <w:spacing w:line="320" w:lineRule="exact"/>
              <w:jc w:val="center"/>
              <w:textAlignment w:val="center"/>
              <w:rPr>
                <w:rFonts w:hint="eastAsia" w:ascii="仿宋_GB2312" w:hAnsi="仿宋_GB2312" w:eastAsia="仿宋_GB2312" w:cs="仿宋_GB2312"/>
                <w:color w:val="000000"/>
                <w:sz w:val="24"/>
              </w:rPr>
            </w:pPr>
          </w:p>
          <w:p w14:paraId="5B6A8BFD">
            <w:pPr>
              <w:autoSpaceDN w:val="0"/>
              <w:spacing w:line="320" w:lineRule="exact"/>
              <w:jc w:val="center"/>
              <w:textAlignment w:val="center"/>
              <w:rPr>
                <w:rFonts w:hint="eastAsia" w:ascii="仿宋_GB2312" w:hAnsi="仿宋_GB2312" w:eastAsia="仿宋_GB2312" w:cs="仿宋_GB2312"/>
                <w:color w:val="000000"/>
                <w:sz w:val="24"/>
              </w:rPr>
            </w:pPr>
          </w:p>
          <w:p w14:paraId="79A23913">
            <w:pPr>
              <w:autoSpaceDN w:val="0"/>
              <w:spacing w:line="320" w:lineRule="exact"/>
              <w:jc w:val="center"/>
              <w:textAlignment w:val="center"/>
              <w:rPr>
                <w:rFonts w:hint="eastAsia" w:ascii="仿宋_GB2312" w:hAnsi="仿宋_GB2312" w:eastAsia="仿宋_GB2312" w:cs="仿宋_GB2312"/>
                <w:color w:val="000000"/>
                <w:sz w:val="24"/>
              </w:rPr>
            </w:pPr>
          </w:p>
          <w:p w14:paraId="26BAF58F">
            <w:pPr>
              <w:autoSpaceDN w:val="0"/>
              <w:spacing w:line="320" w:lineRule="exact"/>
              <w:jc w:val="center"/>
              <w:textAlignment w:val="center"/>
              <w:rPr>
                <w:rFonts w:hint="eastAsia" w:ascii="仿宋_GB2312" w:hAnsi="仿宋_GB2312" w:eastAsia="仿宋_GB2312" w:cs="仿宋_GB2312"/>
                <w:color w:val="000000"/>
                <w:sz w:val="24"/>
              </w:rPr>
            </w:pPr>
          </w:p>
          <w:p w14:paraId="306A649A">
            <w:pPr>
              <w:autoSpaceDN w:val="0"/>
              <w:spacing w:line="320" w:lineRule="exact"/>
              <w:jc w:val="center"/>
              <w:textAlignment w:val="center"/>
              <w:rPr>
                <w:rFonts w:hint="eastAsia" w:ascii="仿宋_GB2312" w:hAnsi="仿宋_GB2312" w:eastAsia="仿宋_GB2312" w:cs="仿宋_GB2312"/>
                <w:color w:val="000000"/>
                <w:sz w:val="24"/>
              </w:rPr>
            </w:pPr>
          </w:p>
          <w:p w14:paraId="2E1282B9">
            <w:pPr>
              <w:autoSpaceDN w:val="0"/>
              <w:spacing w:line="320" w:lineRule="exact"/>
              <w:jc w:val="center"/>
              <w:textAlignment w:val="center"/>
              <w:rPr>
                <w:rFonts w:hint="eastAsia" w:ascii="仿宋_GB2312" w:hAnsi="仿宋_GB2312" w:eastAsia="仿宋_GB2312" w:cs="仿宋_GB2312"/>
                <w:color w:val="000000"/>
                <w:sz w:val="24"/>
              </w:rPr>
            </w:pPr>
          </w:p>
          <w:p w14:paraId="14A9A9D3">
            <w:pPr>
              <w:autoSpaceDN w:val="0"/>
              <w:spacing w:line="320" w:lineRule="exact"/>
              <w:jc w:val="center"/>
              <w:textAlignment w:val="center"/>
              <w:rPr>
                <w:rFonts w:hint="eastAsia" w:ascii="仿宋_GB2312" w:hAnsi="仿宋_GB2312" w:eastAsia="仿宋_GB2312" w:cs="仿宋_GB2312"/>
                <w:color w:val="000000"/>
                <w:sz w:val="24"/>
              </w:rPr>
            </w:pPr>
          </w:p>
          <w:p w14:paraId="3316779C">
            <w:pPr>
              <w:autoSpaceDN w:val="0"/>
              <w:spacing w:line="320" w:lineRule="exact"/>
              <w:jc w:val="center"/>
              <w:textAlignment w:val="center"/>
              <w:rPr>
                <w:rFonts w:hint="eastAsia" w:ascii="仿宋_GB2312" w:hAnsi="仿宋_GB2312" w:eastAsia="仿宋_GB2312" w:cs="仿宋_GB2312"/>
                <w:color w:val="000000"/>
                <w:sz w:val="24"/>
              </w:rPr>
            </w:pPr>
          </w:p>
          <w:p w14:paraId="041F2168">
            <w:pPr>
              <w:autoSpaceDN w:val="0"/>
              <w:spacing w:line="320" w:lineRule="exact"/>
              <w:jc w:val="center"/>
              <w:textAlignment w:val="center"/>
              <w:rPr>
                <w:rFonts w:hint="eastAsia" w:ascii="仿宋_GB2312" w:hAnsi="仿宋_GB2312" w:eastAsia="仿宋_GB2312" w:cs="仿宋_GB2312"/>
                <w:color w:val="000000"/>
                <w:sz w:val="24"/>
              </w:rPr>
            </w:pPr>
          </w:p>
          <w:p w14:paraId="4AF2BCED">
            <w:pPr>
              <w:autoSpaceDN w:val="0"/>
              <w:spacing w:line="320" w:lineRule="exact"/>
              <w:jc w:val="center"/>
              <w:textAlignment w:val="center"/>
              <w:rPr>
                <w:rFonts w:hint="eastAsia" w:ascii="仿宋_GB2312" w:hAnsi="仿宋_GB2312" w:eastAsia="仿宋_GB2312" w:cs="仿宋_GB2312"/>
                <w:color w:val="000000"/>
                <w:sz w:val="24"/>
              </w:rPr>
            </w:pPr>
          </w:p>
          <w:p w14:paraId="3757509E">
            <w:pPr>
              <w:autoSpaceDN w:val="0"/>
              <w:spacing w:line="320" w:lineRule="exact"/>
              <w:jc w:val="center"/>
              <w:textAlignment w:val="center"/>
              <w:rPr>
                <w:rFonts w:hint="eastAsia" w:ascii="仿宋_GB2312" w:hAnsi="仿宋_GB2312" w:eastAsia="仿宋_GB2312" w:cs="仿宋_GB2312"/>
                <w:color w:val="000000"/>
                <w:sz w:val="24"/>
              </w:rPr>
            </w:pPr>
          </w:p>
          <w:p w14:paraId="34A256FB">
            <w:pPr>
              <w:autoSpaceDN w:val="0"/>
              <w:spacing w:line="320" w:lineRule="exact"/>
              <w:jc w:val="center"/>
              <w:textAlignment w:val="center"/>
              <w:rPr>
                <w:rFonts w:hint="eastAsia" w:ascii="仿宋_GB2312" w:hAnsi="仿宋_GB2312" w:eastAsia="仿宋_GB2312" w:cs="仿宋_GB2312"/>
                <w:color w:val="000000"/>
                <w:sz w:val="24"/>
              </w:rPr>
            </w:pPr>
          </w:p>
          <w:p w14:paraId="702E1EAA">
            <w:pPr>
              <w:autoSpaceDN w:val="0"/>
              <w:spacing w:line="320" w:lineRule="exact"/>
              <w:jc w:val="center"/>
              <w:textAlignment w:val="center"/>
              <w:rPr>
                <w:rFonts w:hint="eastAsia" w:ascii="仿宋_GB2312" w:hAnsi="仿宋_GB2312" w:eastAsia="仿宋_GB2312" w:cs="仿宋_GB2312"/>
                <w:color w:val="000000"/>
                <w:sz w:val="24"/>
              </w:rPr>
            </w:pPr>
          </w:p>
          <w:p w14:paraId="1903C8E6">
            <w:pPr>
              <w:autoSpaceDN w:val="0"/>
              <w:spacing w:line="320" w:lineRule="exact"/>
              <w:jc w:val="center"/>
              <w:textAlignment w:val="center"/>
              <w:rPr>
                <w:rFonts w:hint="eastAsia" w:ascii="仿宋_GB2312" w:hAnsi="仿宋_GB2312" w:eastAsia="仿宋_GB2312" w:cs="仿宋_GB2312"/>
                <w:color w:val="000000"/>
                <w:sz w:val="24"/>
              </w:rPr>
            </w:pPr>
          </w:p>
          <w:p w14:paraId="472384FF">
            <w:pPr>
              <w:autoSpaceDN w:val="0"/>
              <w:spacing w:line="320" w:lineRule="exact"/>
              <w:jc w:val="center"/>
              <w:textAlignment w:val="center"/>
              <w:rPr>
                <w:rFonts w:hint="eastAsia" w:ascii="仿宋_GB2312" w:hAnsi="仿宋_GB2312" w:eastAsia="仿宋_GB2312" w:cs="仿宋_GB2312"/>
                <w:color w:val="000000"/>
                <w:sz w:val="24"/>
              </w:rPr>
            </w:pPr>
          </w:p>
          <w:p w14:paraId="4D331746">
            <w:pPr>
              <w:autoSpaceDN w:val="0"/>
              <w:spacing w:line="320" w:lineRule="exact"/>
              <w:jc w:val="center"/>
              <w:textAlignment w:val="center"/>
              <w:rPr>
                <w:rFonts w:hint="eastAsia" w:ascii="仿宋_GB2312" w:hAnsi="仿宋_GB2312" w:eastAsia="仿宋_GB2312" w:cs="仿宋_GB2312"/>
                <w:color w:val="000000"/>
                <w:sz w:val="24"/>
              </w:rPr>
            </w:pPr>
          </w:p>
          <w:p w14:paraId="608DED26">
            <w:pPr>
              <w:autoSpaceDN w:val="0"/>
              <w:spacing w:line="320" w:lineRule="exact"/>
              <w:jc w:val="center"/>
              <w:textAlignment w:val="center"/>
              <w:rPr>
                <w:rFonts w:hint="eastAsia" w:ascii="仿宋_GB2312" w:hAnsi="仿宋_GB2312" w:eastAsia="仿宋_GB2312" w:cs="仿宋_GB2312"/>
                <w:color w:val="000000"/>
                <w:sz w:val="24"/>
              </w:rPr>
            </w:pPr>
          </w:p>
          <w:p w14:paraId="64CAAFFA">
            <w:pPr>
              <w:autoSpaceDN w:val="0"/>
              <w:spacing w:line="320" w:lineRule="exact"/>
              <w:jc w:val="center"/>
              <w:textAlignment w:val="center"/>
              <w:rPr>
                <w:rFonts w:hint="eastAsia" w:ascii="仿宋_GB2312" w:hAnsi="仿宋_GB2312" w:eastAsia="仿宋_GB2312" w:cs="仿宋_GB2312"/>
                <w:color w:val="000000"/>
                <w:sz w:val="24"/>
              </w:rPr>
            </w:pPr>
          </w:p>
          <w:p w14:paraId="1BB22A1E">
            <w:pPr>
              <w:autoSpaceDN w:val="0"/>
              <w:spacing w:line="320" w:lineRule="exact"/>
              <w:jc w:val="center"/>
              <w:textAlignment w:val="center"/>
              <w:rPr>
                <w:rFonts w:hint="eastAsia" w:ascii="仿宋_GB2312" w:hAnsi="仿宋_GB2312" w:eastAsia="仿宋_GB2312" w:cs="仿宋_GB2312"/>
                <w:color w:val="000000"/>
                <w:sz w:val="24"/>
              </w:rPr>
            </w:pPr>
          </w:p>
          <w:p w14:paraId="35B0B656">
            <w:pPr>
              <w:autoSpaceDN w:val="0"/>
              <w:spacing w:line="320" w:lineRule="exact"/>
              <w:jc w:val="center"/>
              <w:textAlignment w:val="center"/>
              <w:rPr>
                <w:rFonts w:hint="eastAsia" w:ascii="仿宋_GB2312" w:hAnsi="仿宋_GB2312" w:eastAsia="仿宋_GB2312" w:cs="仿宋_GB2312"/>
                <w:color w:val="000000"/>
                <w:sz w:val="24"/>
              </w:rPr>
            </w:pPr>
          </w:p>
          <w:p w14:paraId="247B5FD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noWrap w:val="0"/>
            <w:vAlign w:val="center"/>
          </w:tcPr>
          <w:p w14:paraId="60144D1A">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指标1：推进会员实名制登记管理，完成市总工会下达的组建任务</w:t>
            </w:r>
            <w:r>
              <w:rPr>
                <w:rFonts w:hint="eastAsia" w:ascii="仿宋_GB2312" w:hAnsi="仿宋_GB2312" w:eastAsia="仿宋_GB2312" w:cs="仿宋_GB2312"/>
                <w:color w:val="000000"/>
                <w:sz w:val="24"/>
                <w:lang w:eastAsia="zh-CN"/>
              </w:rPr>
              <w:t>，推进网上工会建设，完善网上工会基础数据管理</w:t>
            </w:r>
            <w:r>
              <w:rPr>
                <w:rFonts w:hint="eastAsia" w:ascii="仿宋" w:hAnsi="仿宋" w:eastAsia="仿宋" w:cs="仿宋_GB2312"/>
                <w:color w:val="000000"/>
                <w:sz w:val="24"/>
              </w:rPr>
              <w:t>。</w:t>
            </w:r>
          </w:p>
        </w:tc>
        <w:tc>
          <w:tcPr>
            <w:tcW w:w="2684" w:type="dxa"/>
            <w:gridSpan w:val="6"/>
            <w:noWrap w:val="0"/>
            <w:vAlign w:val="center"/>
          </w:tcPr>
          <w:p w14:paraId="76A15B59">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08996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5DA823F4">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171C43FB">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6676DD31">
            <w:pPr>
              <w:spacing w:line="320" w:lineRule="exact"/>
              <w:rPr>
                <w:rFonts w:hint="eastAsia" w:ascii="仿宋_GB2312" w:hAnsi="仿宋_GB2312" w:eastAsia="仿宋_GB2312" w:cs="仿宋_GB2312"/>
                <w:sz w:val="24"/>
              </w:rPr>
            </w:pPr>
          </w:p>
        </w:tc>
        <w:tc>
          <w:tcPr>
            <w:tcW w:w="2709" w:type="dxa"/>
            <w:gridSpan w:val="4"/>
            <w:noWrap w:val="0"/>
            <w:vAlign w:val="center"/>
          </w:tcPr>
          <w:p w14:paraId="2C3AC8AF">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开展中央专项彩票公益金法律援助项目帮扶；做好第</w:t>
            </w:r>
            <w:r>
              <w:rPr>
                <w:rFonts w:hint="eastAsia" w:ascii="仿宋" w:hAnsi="仿宋" w:eastAsia="仿宋" w:cs="仿宋_GB2312"/>
                <w:color w:val="000000"/>
                <w:sz w:val="24"/>
                <w:lang w:val="en-US" w:eastAsia="zh-CN"/>
              </w:rPr>
              <w:t>八</w:t>
            </w:r>
            <w:r>
              <w:rPr>
                <w:rFonts w:hint="eastAsia" w:ascii="仿宋" w:hAnsi="仿宋" w:eastAsia="仿宋" w:cs="仿宋_GB2312"/>
                <w:color w:val="000000"/>
                <w:sz w:val="24"/>
              </w:rPr>
              <w:t>期职工医疗宣传，让参保职工及时得到救助，启动第</w:t>
            </w:r>
            <w:r>
              <w:rPr>
                <w:rFonts w:hint="eastAsia" w:ascii="仿宋" w:hAnsi="仿宋" w:eastAsia="仿宋" w:cs="仿宋_GB2312"/>
                <w:color w:val="000000"/>
                <w:sz w:val="24"/>
                <w:lang w:val="en-US" w:eastAsia="zh-CN"/>
              </w:rPr>
              <w:t>九</w:t>
            </w:r>
            <w:r>
              <w:rPr>
                <w:rFonts w:hint="eastAsia" w:ascii="仿宋" w:hAnsi="仿宋" w:eastAsia="仿宋" w:cs="仿宋_GB2312"/>
                <w:color w:val="000000"/>
                <w:sz w:val="24"/>
              </w:rPr>
              <w:t>期职工医疗互助提质扩面工作</w:t>
            </w:r>
            <w:r>
              <w:rPr>
                <w:rFonts w:hint="eastAsia" w:ascii="仿宋" w:hAnsi="仿宋" w:eastAsia="仿宋" w:cs="仿宋_GB2312"/>
                <w:color w:val="000000"/>
                <w:sz w:val="24"/>
                <w:lang w:eastAsia="zh-CN"/>
              </w:rPr>
              <w:t>；认真做好“四送”主题活动；推进“双联”帮扶，做好 “双联”办日常工作，阶段性调度工作推进情况，做好年底“双联”集中帮扶；加大困难职工走访力度，按照困难程度，实施分类建档，确保应建尽建，规范困难职工档案管理，依纪依规管理和使用帮扶资金</w:t>
            </w:r>
            <w:r>
              <w:rPr>
                <w:rFonts w:hint="eastAsia" w:ascii="仿宋" w:hAnsi="仿宋" w:eastAsia="仿宋" w:cs="仿宋_GB2312"/>
                <w:color w:val="000000"/>
                <w:sz w:val="24"/>
              </w:rPr>
              <w:t>。</w:t>
            </w:r>
          </w:p>
        </w:tc>
        <w:tc>
          <w:tcPr>
            <w:tcW w:w="2684" w:type="dxa"/>
            <w:gridSpan w:val="6"/>
            <w:noWrap w:val="0"/>
            <w:vAlign w:val="center"/>
          </w:tcPr>
          <w:p w14:paraId="72C049B4">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6AE9E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31409E37">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2B328981">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0A1D00CF">
            <w:pPr>
              <w:spacing w:line="320" w:lineRule="exact"/>
              <w:rPr>
                <w:rFonts w:hint="eastAsia" w:ascii="仿宋_GB2312" w:hAnsi="仿宋_GB2312" w:eastAsia="仿宋_GB2312" w:cs="仿宋_GB2312"/>
                <w:sz w:val="24"/>
              </w:rPr>
            </w:pPr>
          </w:p>
        </w:tc>
        <w:tc>
          <w:tcPr>
            <w:tcW w:w="2709" w:type="dxa"/>
            <w:gridSpan w:val="4"/>
            <w:noWrap w:val="0"/>
            <w:vAlign w:val="center"/>
          </w:tcPr>
          <w:p w14:paraId="130EF721">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指标3：大力开展劳动竞赛与巴陵工匠、示范性劳模创新工作室等评选活动，助力推进云溪高质量发展，积极向省市申报创建“工人先锋号”</w:t>
            </w:r>
            <w:r>
              <w:rPr>
                <w:rFonts w:hint="eastAsia" w:ascii="仿宋_GB2312" w:hAnsi="仿宋_GB2312" w:eastAsia="仿宋_GB2312" w:cs="仿宋_GB2312"/>
                <w:color w:val="000000"/>
                <w:sz w:val="24"/>
                <w:lang w:eastAsia="zh-CN"/>
              </w:rPr>
              <w:t>；加大职工技能培训力度，着力推进新时代产业工人队伍建设改革提升，组建区域技能人才资源数据库；加大劳模工匠关爱力度，在“五一工人阶级宣传月”期间，采取多种形式弘扬劳模精神、劳动精神、工匠精神，组织劳模开展分批次开展疗养活动</w:t>
            </w:r>
            <w:r>
              <w:rPr>
                <w:rFonts w:hint="eastAsia" w:ascii="仿宋" w:hAnsi="仿宋" w:eastAsia="仿宋" w:cs="仿宋_GB2312"/>
                <w:color w:val="000000"/>
                <w:sz w:val="24"/>
              </w:rPr>
              <w:t>。</w:t>
            </w:r>
          </w:p>
        </w:tc>
        <w:tc>
          <w:tcPr>
            <w:tcW w:w="2684" w:type="dxa"/>
            <w:gridSpan w:val="6"/>
            <w:noWrap w:val="0"/>
            <w:vAlign w:val="center"/>
          </w:tcPr>
          <w:p w14:paraId="174B6B2D">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6F16F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0AFCBDF4">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0DC54D97">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31EA8B70">
            <w:pPr>
              <w:spacing w:line="320" w:lineRule="exact"/>
              <w:rPr>
                <w:rFonts w:hint="eastAsia" w:ascii="仿宋_GB2312" w:hAnsi="仿宋_GB2312" w:eastAsia="仿宋_GB2312" w:cs="仿宋_GB2312"/>
                <w:sz w:val="24"/>
              </w:rPr>
            </w:pPr>
          </w:p>
        </w:tc>
        <w:tc>
          <w:tcPr>
            <w:tcW w:w="2709" w:type="dxa"/>
            <w:gridSpan w:val="4"/>
            <w:noWrap w:val="0"/>
            <w:vAlign w:val="center"/>
          </w:tcPr>
          <w:p w14:paraId="1E05B2CC">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4：强化女职工组织规范化建设，完善女职工组织台帐，培育选树1-2个女职工建设示范点；以女职工培训学校和“一户一产业工程”基地为依托，加强女职工劳动技能培训和素质教育；培养选拔女性岗星、劳模、工匠</w:t>
            </w:r>
            <w:r>
              <w:rPr>
                <w:rFonts w:hint="eastAsia" w:ascii="仿宋_GB2312" w:hAnsi="仿宋_GB2312" w:eastAsia="仿宋_GB2312" w:cs="仿宋_GB2312"/>
                <w:color w:val="000000"/>
                <w:sz w:val="24"/>
                <w:lang w:eastAsia="zh-CN"/>
              </w:rPr>
              <w:t>；全面深化“第九轮芙蓉杯”竞赛活动，认真开展芙蓉公益讲堂,；开展女职工“维权行动月”活动，贯彻落实《湖南省女职工劳动保护特别规定》，推进女职工专项集体合同提质扩面。开展女职工“两癌”普查，做好女职工困难和心理帮扶，推进母婴关爱室建设，加强女职工家教家风引领；</w:t>
            </w:r>
            <w:r>
              <w:rPr>
                <w:rFonts w:hint="eastAsia" w:ascii="仿宋" w:hAnsi="仿宋" w:eastAsia="仿宋" w:cs="仿宋_GB2312"/>
                <w:color w:val="000000"/>
                <w:sz w:val="24"/>
              </w:rPr>
              <w:t>。</w:t>
            </w:r>
          </w:p>
        </w:tc>
        <w:tc>
          <w:tcPr>
            <w:tcW w:w="2684" w:type="dxa"/>
            <w:gridSpan w:val="6"/>
            <w:noWrap w:val="0"/>
            <w:vAlign w:val="center"/>
          </w:tcPr>
          <w:p w14:paraId="477745C7">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1D585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3011E8A3">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37AA8396">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1829150A">
            <w:pPr>
              <w:spacing w:line="320" w:lineRule="exact"/>
              <w:rPr>
                <w:rFonts w:hint="eastAsia" w:ascii="仿宋_GB2312" w:hAnsi="仿宋_GB2312" w:eastAsia="仿宋_GB2312" w:cs="仿宋_GB2312"/>
                <w:sz w:val="24"/>
              </w:rPr>
            </w:pPr>
          </w:p>
        </w:tc>
        <w:tc>
          <w:tcPr>
            <w:tcW w:w="2709" w:type="dxa"/>
            <w:gridSpan w:val="4"/>
            <w:noWrap w:val="0"/>
            <w:vAlign w:val="center"/>
          </w:tcPr>
          <w:p w14:paraId="4DF35CCE">
            <w:pPr>
              <w:autoSpaceDN w:val="0"/>
              <w:spacing w:line="320" w:lineRule="exact"/>
              <w:jc w:val="left"/>
              <w:textAlignment w:val="center"/>
              <w:rPr>
                <w:rFonts w:hint="eastAsia" w:ascii="仿宋" w:hAnsi="仿宋" w:eastAsia="仿宋_GB2312" w:cs="仿宋_GB2312"/>
                <w:color w:val="000000"/>
                <w:sz w:val="24"/>
                <w:lang w:eastAsia="zh-CN"/>
              </w:rPr>
            </w:pPr>
            <w:r>
              <w:rPr>
                <w:rFonts w:hint="eastAsia" w:ascii="仿宋_GB2312" w:hAnsi="仿宋_GB2312" w:eastAsia="仿宋_GB2312" w:cs="仿宋_GB2312"/>
                <w:color w:val="000000"/>
                <w:sz w:val="24"/>
              </w:rPr>
              <w:t>指标5：加大基层工会经费审计检查力度，继续购买第三方经审服务，延伸工会审计触角，通过以审促改、以审促规范，确保全区工会经费规范管理使用全面规范到位，使用规范</w:t>
            </w:r>
            <w:r>
              <w:rPr>
                <w:rFonts w:hint="eastAsia" w:ascii="仿宋_GB2312" w:hAnsi="仿宋_GB2312" w:eastAsia="仿宋_GB2312" w:cs="仿宋_GB2312"/>
                <w:color w:val="000000"/>
                <w:sz w:val="24"/>
                <w:lang w:eastAsia="zh-CN"/>
              </w:rPr>
              <w:t>。</w:t>
            </w:r>
          </w:p>
        </w:tc>
        <w:tc>
          <w:tcPr>
            <w:tcW w:w="2684" w:type="dxa"/>
            <w:gridSpan w:val="6"/>
            <w:noWrap w:val="0"/>
            <w:vAlign w:val="center"/>
          </w:tcPr>
          <w:p w14:paraId="4CABF6EA">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76019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EB91386">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65F48FD5">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13DDD89D">
            <w:pPr>
              <w:spacing w:line="320" w:lineRule="exact"/>
              <w:rPr>
                <w:rFonts w:hint="eastAsia" w:ascii="仿宋_GB2312" w:hAnsi="仿宋_GB2312" w:eastAsia="仿宋_GB2312" w:cs="仿宋_GB2312"/>
                <w:sz w:val="24"/>
              </w:rPr>
            </w:pPr>
          </w:p>
        </w:tc>
        <w:tc>
          <w:tcPr>
            <w:tcW w:w="2709" w:type="dxa"/>
            <w:gridSpan w:val="4"/>
            <w:noWrap w:val="0"/>
            <w:vAlign w:val="center"/>
          </w:tcPr>
          <w:p w14:paraId="1D65F7D6">
            <w:pPr>
              <w:autoSpaceDN w:val="0"/>
              <w:spacing w:line="320" w:lineRule="exact"/>
              <w:jc w:val="left"/>
              <w:textAlignment w:val="center"/>
              <w:rPr>
                <w:rFonts w:hint="eastAsia" w:ascii="仿宋" w:hAnsi="仿宋" w:eastAsia="仿宋_GB2312" w:cs="仿宋_GB2312"/>
                <w:color w:val="000000"/>
                <w:sz w:val="24"/>
                <w:lang w:eastAsia="zh-CN"/>
              </w:rPr>
            </w:pPr>
            <w:r>
              <w:rPr>
                <w:rFonts w:hint="eastAsia" w:ascii="仿宋_GB2312" w:hAnsi="仿宋_GB2312" w:eastAsia="仿宋_GB2312" w:cs="仿宋_GB2312"/>
                <w:color w:val="000000"/>
                <w:sz w:val="24"/>
              </w:rPr>
              <w:t>指标6：加大工会理论与业务培训力度，全年计划对机关全体干部、直属工会主席、女工干部等进行集中培训、轮训、调训</w:t>
            </w:r>
            <w:r>
              <w:rPr>
                <w:rFonts w:hint="eastAsia" w:ascii="仿宋_GB2312" w:hAnsi="仿宋_GB2312" w:eastAsia="仿宋_GB2312" w:cs="仿宋_GB2312"/>
                <w:color w:val="000000"/>
                <w:sz w:val="24"/>
                <w:lang w:eastAsia="zh-CN"/>
              </w:rPr>
              <w:t>；联合各基层工会开展职工同唱红歌比赛活动；倡导鼓励各基层工会组织开展形式多样的职工文化活动，引导广大职工听党话、跟党走、努力建功新时代。</w:t>
            </w:r>
          </w:p>
        </w:tc>
        <w:tc>
          <w:tcPr>
            <w:tcW w:w="2684" w:type="dxa"/>
            <w:gridSpan w:val="6"/>
            <w:noWrap w:val="0"/>
            <w:vAlign w:val="center"/>
          </w:tcPr>
          <w:p w14:paraId="1FC4579A">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1A387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32A45050">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5CB0AE21">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14:paraId="2A53815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noWrap w:val="0"/>
            <w:vAlign w:val="center"/>
          </w:tcPr>
          <w:p w14:paraId="2891F277">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r>
              <w:rPr>
                <w:rFonts w:hint="eastAsia" w:ascii="仿宋" w:hAnsi="仿宋" w:eastAsia="仿宋" w:cs="仿宋_GB2312"/>
                <w:color w:val="000000"/>
                <w:sz w:val="24"/>
              </w:rPr>
              <w:t>重点打造</w:t>
            </w:r>
            <w:r>
              <w:rPr>
                <w:rFonts w:hint="eastAsia" w:ascii="仿宋" w:hAnsi="仿宋" w:eastAsia="仿宋" w:cs="仿宋_GB2312"/>
                <w:color w:val="000000"/>
                <w:sz w:val="24"/>
                <w:lang w:val="en-US" w:eastAsia="zh-CN"/>
              </w:rPr>
              <w:t>3-5</w:t>
            </w:r>
            <w:r>
              <w:rPr>
                <w:rFonts w:hint="eastAsia" w:ascii="仿宋" w:hAnsi="仿宋" w:eastAsia="仿宋" w:cs="仿宋_GB2312"/>
                <w:color w:val="000000"/>
                <w:sz w:val="24"/>
              </w:rPr>
              <w:t>家工会阵地建设示范点；着力创建省、市模范职工之家（职工小家）1-2家。</w:t>
            </w:r>
          </w:p>
        </w:tc>
        <w:tc>
          <w:tcPr>
            <w:tcW w:w="2684" w:type="dxa"/>
            <w:gridSpan w:val="6"/>
            <w:noWrap w:val="0"/>
            <w:vAlign w:val="center"/>
          </w:tcPr>
          <w:p w14:paraId="24152772">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75880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4A87CCBA">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5F3C7615">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5809D2AF">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053501FC">
            <w:pPr>
              <w:autoSpaceDN w:val="0"/>
              <w:spacing w:line="320" w:lineRule="exact"/>
              <w:jc w:val="left"/>
              <w:textAlignment w:val="center"/>
              <w:rPr>
                <w:rFonts w:hint="eastAsia" w:ascii="仿宋" w:hAnsi="仿宋" w:eastAsia="仿宋" w:cs="仿宋_GB2312"/>
                <w:color w:val="000000"/>
                <w:sz w:val="24"/>
              </w:rPr>
            </w:pPr>
            <w:r>
              <w:rPr>
                <w:rFonts w:hint="eastAsia" w:ascii="仿宋_GB2312" w:hAnsi="仿宋_GB2312" w:eastAsia="仿宋_GB2312" w:cs="仿宋_GB2312"/>
                <w:color w:val="000000"/>
                <w:sz w:val="24"/>
              </w:rPr>
              <w:t>指标2：</w:t>
            </w:r>
            <w:r>
              <w:rPr>
                <w:rFonts w:hint="eastAsia" w:ascii="仿宋" w:hAnsi="仿宋" w:eastAsia="仿宋" w:cs="仿宋_GB2312"/>
                <w:color w:val="000000"/>
                <w:sz w:val="24"/>
              </w:rPr>
              <w:t>进一步推进企业工资集体协商工作，确保企业工资集体协商占工会建制率的92%以上；指导非公企业加强厂务公开、推进职代会建设，重点指导教育、卫计等行业开好职代会。</w:t>
            </w:r>
          </w:p>
        </w:tc>
        <w:tc>
          <w:tcPr>
            <w:tcW w:w="2684" w:type="dxa"/>
            <w:gridSpan w:val="6"/>
            <w:noWrap w:val="0"/>
            <w:vAlign w:val="center"/>
          </w:tcPr>
          <w:p w14:paraId="59987CF7">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138C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1269CC3B">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798D8DC4">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47BBC9FC">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70076406">
            <w:pPr>
              <w:autoSpaceDN w:val="0"/>
              <w:spacing w:line="320" w:lineRule="exact"/>
              <w:jc w:val="left"/>
              <w:textAlignment w:val="center"/>
              <w:rPr>
                <w:rFonts w:hint="eastAsia" w:ascii="仿宋_GB2312" w:hAnsi="仿宋_GB2312" w:eastAsia="仿宋_GB2312" w:cs="仿宋_GB2312"/>
                <w:color w:val="000000"/>
                <w:sz w:val="24"/>
              </w:rPr>
            </w:pPr>
          </w:p>
          <w:p w14:paraId="2F870D2E">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指标3：</w:t>
            </w:r>
            <w:r>
              <w:rPr>
                <w:rFonts w:hint="eastAsia" w:ascii="仿宋" w:hAnsi="仿宋" w:eastAsia="仿宋" w:cs="仿宋_GB2312"/>
                <w:color w:val="000000"/>
                <w:sz w:val="24"/>
              </w:rPr>
              <w:t>全面完成市总下达的经费征缴任务；</w:t>
            </w:r>
          </w:p>
        </w:tc>
        <w:tc>
          <w:tcPr>
            <w:tcW w:w="2684" w:type="dxa"/>
            <w:gridSpan w:val="6"/>
            <w:noWrap w:val="0"/>
            <w:vAlign w:val="center"/>
          </w:tcPr>
          <w:p w14:paraId="19874BA9">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272BA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1" w:hRule="atLeast"/>
          <w:jc w:val="center"/>
        </w:trPr>
        <w:tc>
          <w:tcPr>
            <w:tcW w:w="1441" w:type="dxa"/>
            <w:vMerge w:val="continue"/>
            <w:noWrap w:val="0"/>
            <w:vAlign w:val="center"/>
          </w:tcPr>
          <w:p w14:paraId="28D30CB6">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60DFA643">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45BD9AFE">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2C22304D">
            <w:pPr>
              <w:autoSpaceDN w:val="0"/>
              <w:spacing w:line="320" w:lineRule="exact"/>
              <w:jc w:val="left"/>
              <w:textAlignment w:val="center"/>
              <w:rPr>
                <w:rFonts w:hint="eastAsia"/>
              </w:rPr>
            </w:pPr>
          </w:p>
          <w:p w14:paraId="09A9F5E0">
            <w:pPr>
              <w:autoSpaceDN w:val="0"/>
              <w:spacing w:line="320" w:lineRule="exact"/>
              <w:jc w:val="left"/>
              <w:textAlignment w:val="center"/>
              <w:rPr>
                <w:rFonts w:hint="eastAsia"/>
                <w:lang w:eastAsia="zh-CN"/>
              </w:rPr>
            </w:pPr>
            <w:r>
              <w:rPr>
                <w:rFonts w:hint="eastAsia" w:ascii="仿宋" w:hAnsi="仿宋" w:eastAsia="仿宋" w:cs="仿宋_GB2312"/>
                <w:color w:val="000000"/>
                <w:sz w:val="24"/>
              </w:rPr>
              <w:t>指标4：举办第</w:t>
            </w:r>
            <w:r>
              <w:rPr>
                <w:rFonts w:hint="eastAsia" w:ascii="仿宋" w:hAnsi="仿宋" w:eastAsia="仿宋" w:cs="仿宋_GB2312"/>
                <w:color w:val="000000"/>
                <w:sz w:val="24"/>
                <w:lang w:val="en-US" w:eastAsia="zh-CN"/>
              </w:rPr>
              <w:t>四</w:t>
            </w:r>
            <w:r>
              <w:rPr>
                <w:rFonts w:hint="eastAsia" w:ascii="仿宋" w:hAnsi="仿宋" w:eastAsia="仿宋" w:cs="仿宋_GB2312"/>
                <w:color w:val="000000"/>
                <w:sz w:val="24"/>
              </w:rPr>
              <w:t>届全区职工</w:t>
            </w:r>
            <w:r>
              <w:rPr>
                <w:rFonts w:hint="eastAsia" w:ascii="仿宋" w:hAnsi="仿宋" w:eastAsia="仿宋" w:cs="仿宋_GB2312"/>
                <w:color w:val="000000"/>
                <w:sz w:val="24"/>
                <w:lang w:val="en-US" w:eastAsia="zh-CN"/>
              </w:rPr>
              <w:t>乒乓球</w:t>
            </w:r>
            <w:r>
              <w:rPr>
                <w:rFonts w:hint="eastAsia" w:ascii="仿宋" w:hAnsi="仿宋" w:eastAsia="仿宋" w:cs="仿宋_GB2312"/>
                <w:color w:val="000000"/>
                <w:sz w:val="24"/>
              </w:rPr>
              <w:t>比赛等活动</w:t>
            </w:r>
            <w:r>
              <w:rPr>
                <w:rFonts w:hint="eastAsia" w:ascii="仿宋" w:hAnsi="仿宋" w:eastAsia="仿宋" w:cs="仿宋_GB2312"/>
                <w:color w:val="000000"/>
                <w:sz w:val="24"/>
                <w:lang w:eastAsia="zh-CN"/>
              </w:rPr>
              <w:t>。</w:t>
            </w:r>
          </w:p>
        </w:tc>
        <w:tc>
          <w:tcPr>
            <w:tcW w:w="2684" w:type="dxa"/>
            <w:gridSpan w:val="6"/>
            <w:noWrap w:val="0"/>
            <w:vAlign w:val="center"/>
          </w:tcPr>
          <w:p w14:paraId="678FC696">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11CAB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1BB729F2">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70E7F00F">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14:paraId="1FAFE140">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noWrap w:val="0"/>
            <w:vAlign w:val="center"/>
          </w:tcPr>
          <w:p w14:paraId="4756C78E">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noWrap w:val="0"/>
            <w:vAlign w:val="center"/>
          </w:tcPr>
          <w:p w14:paraId="1715B90B">
            <w:pPr>
              <w:autoSpaceDN w:val="0"/>
              <w:spacing w:line="320" w:lineRule="exact"/>
              <w:jc w:val="center"/>
              <w:textAlignment w:val="center"/>
              <w:rPr>
                <w:rFonts w:hint="eastAsia" w:ascii="仿宋_GB2312" w:hAnsi="仿宋_GB2312" w:eastAsia="仿宋_GB2312" w:cs="仿宋_GB2312"/>
                <w:b/>
                <w:color w:val="000000"/>
                <w:sz w:val="24"/>
              </w:rPr>
            </w:pPr>
          </w:p>
        </w:tc>
      </w:tr>
      <w:tr w14:paraId="40589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2B88B06D">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46EA4391">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56649CFE">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14:paraId="4C30551D">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noWrap w:val="0"/>
            <w:vAlign w:val="center"/>
          </w:tcPr>
          <w:p w14:paraId="27273CEF">
            <w:pPr>
              <w:autoSpaceDN w:val="0"/>
              <w:spacing w:line="320" w:lineRule="exact"/>
              <w:jc w:val="center"/>
              <w:textAlignment w:val="center"/>
              <w:rPr>
                <w:rFonts w:hint="eastAsia" w:ascii="仿宋_GB2312" w:hAnsi="仿宋_GB2312" w:eastAsia="仿宋_GB2312" w:cs="仿宋_GB2312"/>
                <w:b/>
                <w:color w:val="000000"/>
                <w:sz w:val="24"/>
              </w:rPr>
            </w:pPr>
          </w:p>
        </w:tc>
      </w:tr>
      <w:tr w14:paraId="18BF5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FBACC91">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78DA76BB">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38677F4B">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426DAB3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14:paraId="315F7653">
            <w:pPr>
              <w:autoSpaceDN w:val="0"/>
              <w:spacing w:line="320" w:lineRule="exact"/>
              <w:jc w:val="center"/>
              <w:textAlignment w:val="center"/>
              <w:rPr>
                <w:rFonts w:hint="eastAsia" w:ascii="仿宋_GB2312" w:hAnsi="仿宋_GB2312" w:eastAsia="仿宋_GB2312" w:cs="仿宋_GB2312"/>
                <w:b/>
                <w:color w:val="000000"/>
                <w:sz w:val="24"/>
              </w:rPr>
            </w:pPr>
          </w:p>
        </w:tc>
      </w:tr>
      <w:tr w14:paraId="6A754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5419B99">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5C037490">
            <w:pPr>
              <w:autoSpaceDN w:val="0"/>
              <w:spacing w:line="320" w:lineRule="exact"/>
              <w:rPr>
                <w:rFonts w:hint="eastAsia" w:ascii="仿宋_GB2312" w:hAnsi="仿宋_GB2312" w:eastAsia="仿宋_GB2312" w:cs="仿宋_GB2312"/>
                <w:sz w:val="24"/>
              </w:rPr>
            </w:pPr>
          </w:p>
        </w:tc>
        <w:tc>
          <w:tcPr>
            <w:tcW w:w="1417" w:type="dxa"/>
            <w:gridSpan w:val="2"/>
            <w:vMerge w:val="restart"/>
            <w:noWrap w:val="0"/>
            <w:vAlign w:val="center"/>
          </w:tcPr>
          <w:p w14:paraId="2501B52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noWrap w:val="0"/>
            <w:vAlign w:val="center"/>
          </w:tcPr>
          <w:p w14:paraId="07CAD872">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tc>
        <w:tc>
          <w:tcPr>
            <w:tcW w:w="2684" w:type="dxa"/>
            <w:gridSpan w:val="6"/>
            <w:noWrap w:val="0"/>
            <w:vAlign w:val="center"/>
          </w:tcPr>
          <w:p w14:paraId="0A31C5D4">
            <w:pPr>
              <w:autoSpaceDN w:val="0"/>
              <w:spacing w:line="320" w:lineRule="exact"/>
              <w:jc w:val="center"/>
              <w:textAlignment w:val="center"/>
              <w:rPr>
                <w:rFonts w:hint="eastAsia" w:ascii="仿宋_GB2312" w:hAnsi="仿宋_GB2312" w:eastAsia="仿宋_GB2312" w:cs="仿宋_GB2312"/>
                <w:b/>
                <w:color w:val="000000"/>
                <w:sz w:val="24"/>
              </w:rPr>
            </w:pPr>
          </w:p>
        </w:tc>
      </w:tr>
      <w:tr w14:paraId="5E04B4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3E4B851">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18E843D9">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0B0C06AA">
            <w:pPr>
              <w:autoSpaceDN w:val="0"/>
              <w:spacing w:line="320" w:lineRule="exact"/>
              <w:jc w:val="center"/>
              <w:textAlignment w:val="center"/>
              <w:rPr>
                <w:rFonts w:hint="eastAsia" w:ascii="仿宋_GB2312" w:hAnsi="仿宋_GB2312" w:eastAsia="仿宋_GB2312" w:cs="仿宋_GB2312"/>
                <w:color w:val="000000"/>
                <w:sz w:val="24"/>
              </w:rPr>
            </w:pPr>
          </w:p>
        </w:tc>
        <w:tc>
          <w:tcPr>
            <w:tcW w:w="2709" w:type="dxa"/>
            <w:gridSpan w:val="4"/>
            <w:noWrap w:val="0"/>
            <w:vAlign w:val="center"/>
          </w:tcPr>
          <w:p w14:paraId="0F61039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tc>
        <w:tc>
          <w:tcPr>
            <w:tcW w:w="2684" w:type="dxa"/>
            <w:gridSpan w:val="6"/>
            <w:noWrap w:val="0"/>
            <w:vAlign w:val="center"/>
          </w:tcPr>
          <w:p w14:paraId="0F8B910F">
            <w:pPr>
              <w:autoSpaceDN w:val="0"/>
              <w:spacing w:line="320" w:lineRule="exact"/>
              <w:jc w:val="center"/>
              <w:textAlignment w:val="center"/>
              <w:rPr>
                <w:rFonts w:hint="eastAsia" w:ascii="仿宋_GB2312" w:hAnsi="仿宋_GB2312" w:eastAsia="仿宋_GB2312" w:cs="仿宋_GB2312"/>
                <w:b/>
                <w:color w:val="000000"/>
                <w:sz w:val="24"/>
              </w:rPr>
            </w:pPr>
          </w:p>
        </w:tc>
      </w:tr>
      <w:tr w14:paraId="35301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73A00C17">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5D087B26">
            <w:pPr>
              <w:autoSpaceDN w:val="0"/>
              <w:spacing w:line="320" w:lineRule="exact"/>
              <w:rPr>
                <w:rFonts w:hint="eastAsia" w:ascii="仿宋_GB2312" w:hAnsi="仿宋_GB2312" w:eastAsia="仿宋_GB2312" w:cs="仿宋_GB2312"/>
                <w:sz w:val="24"/>
              </w:rPr>
            </w:pPr>
          </w:p>
        </w:tc>
        <w:tc>
          <w:tcPr>
            <w:tcW w:w="1417" w:type="dxa"/>
            <w:gridSpan w:val="2"/>
            <w:vMerge w:val="continue"/>
            <w:noWrap w:val="0"/>
            <w:vAlign w:val="center"/>
          </w:tcPr>
          <w:p w14:paraId="5A0C59CD">
            <w:pPr>
              <w:autoSpaceDN w:val="0"/>
              <w:spacing w:line="320" w:lineRule="exact"/>
              <w:jc w:val="center"/>
              <w:textAlignment w:val="center"/>
              <w:rPr>
                <w:rFonts w:hint="eastAsia" w:ascii="仿宋_GB2312" w:hAnsi="仿宋_GB2312" w:eastAsia="仿宋_GB2312" w:cs="仿宋_GB2312"/>
                <w:sz w:val="24"/>
              </w:rPr>
            </w:pPr>
          </w:p>
        </w:tc>
        <w:tc>
          <w:tcPr>
            <w:tcW w:w="2709" w:type="dxa"/>
            <w:gridSpan w:val="4"/>
            <w:noWrap w:val="0"/>
            <w:vAlign w:val="center"/>
          </w:tcPr>
          <w:p w14:paraId="4DE4872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14:paraId="1F6DC7D0">
            <w:pPr>
              <w:autoSpaceDN w:val="0"/>
              <w:spacing w:line="320" w:lineRule="exact"/>
              <w:jc w:val="center"/>
              <w:textAlignment w:val="center"/>
              <w:rPr>
                <w:rFonts w:hint="eastAsia" w:ascii="仿宋_GB2312" w:hAnsi="仿宋_GB2312" w:eastAsia="仿宋_GB2312" w:cs="仿宋_GB2312"/>
                <w:b/>
                <w:color w:val="000000"/>
                <w:sz w:val="24"/>
              </w:rPr>
            </w:pPr>
          </w:p>
        </w:tc>
      </w:tr>
      <w:tr w14:paraId="06684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58486BE9">
            <w:pPr>
              <w:spacing w:line="320" w:lineRule="exact"/>
              <w:rPr>
                <w:rFonts w:hint="eastAsia" w:ascii="仿宋_GB2312" w:hAnsi="仿宋_GB2312" w:eastAsia="仿宋_GB2312" w:cs="仿宋_GB2312"/>
                <w:sz w:val="24"/>
              </w:rPr>
            </w:pPr>
          </w:p>
        </w:tc>
        <w:tc>
          <w:tcPr>
            <w:tcW w:w="1549" w:type="dxa"/>
            <w:gridSpan w:val="4"/>
            <w:vMerge w:val="restart"/>
            <w:noWrap w:val="0"/>
            <w:vAlign w:val="center"/>
          </w:tcPr>
          <w:p w14:paraId="5D33D9C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14:paraId="67BE15B1">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noWrap w:val="0"/>
            <w:vAlign w:val="center"/>
          </w:tcPr>
          <w:p w14:paraId="0828DF5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noWrap w:val="0"/>
            <w:vAlign w:val="center"/>
          </w:tcPr>
          <w:p w14:paraId="38A88209">
            <w:pPr>
              <w:autoSpaceDN w:val="0"/>
              <w:spacing w:line="320" w:lineRule="exact"/>
              <w:jc w:val="left"/>
              <w:textAlignment w:val="center"/>
              <w:rPr>
                <w:rFonts w:hint="eastAsia" w:ascii="仿宋" w:hAnsi="仿宋" w:eastAsia="仿宋" w:cs="仿宋_GB2312"/>
                <w:color w:val="000000"/>
                <w:sz w:val="24"/>
              </w:rPr>
            </w:pPr>
            <w:r>
              <w:rPr>
                <w:rFonts w:hint="eastAsia" w:ascii="仿宋" w:hAnsi="仿宋" w:eastAsia="仿宋" w:cs="仿宋_GB2312"/>
                <w:color w:val="000000"/>
                <w:sz w:val="24"/>
              </w:rPr>
              <w:t>开展了丰富的职工文体活动，加大困难职工帮扶力度，在增强工会活力、团结职工群体、维护社会稳定等方面作出了努力和贡献；</w:t>
            </w:r>
          </w:p>
        </w:tc>
        <w:tc>
          <w:tcPr>
            <w:tcW w:w="2684" w:type="dxa"/>
            <w:gridSpan w:val="6"/>
            <w:noWrap w:val="0"/>
            <w:vAlign w:val="center"/>
          </w:tcPr>
          <w:p w14:paraId="09DD6797">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已完成</w:t>
            </w:r>
          </w:p>
        </w:tc>
      </w:tr>
      <w:tr w14:paraId="513D4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086D9561">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7FCF9B39">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14:paraId="2B917D5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noWrap w:val="0"/>
            <w:vAlign w:val="center"/>
          </w:tcPr>
          <w:p w14:paraId="07485552">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14:paraId="0F89F97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14:paraId="756F232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14:paraId="7AEE6237">
            <w:pPr>
              <w:autoSpaceDN w:val="0"/>
              <w:spacing w:line="320" w:lineRule="exact"/>
              <w:jc w:val="center"/>
              <w:textAlignment w:val="center"/>
              <w:rPr>
                <w:rFonts w:hint="eastAsia" w:ascii="仿宋_GB2312" w:hAnsi="仿宋_GB2312" w:eastAsia="仿宋_GB2312" w:cs="仿宋_GB2312"/>
                <w:b/>
                <w:color w:val="000000"/>
                <w:sz w:val="24"/>
              </w:rPr>
            </w:pPr>
          </w:p>
        </w:tc>
      </w:tr>
      <w:tr w14:paraId="38663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27446F1E">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76559CB8">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14:paraId="35882068">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noWrap w:val="0"/>
            <w:vAlign w:val="center"/>
          </w:tcPr>
          <w:p w14:paraId="7E0CE96A">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指标1：</w:t>
            </w:r>
          </w:p>
          <w:p w14:paraId="4C6A1980">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指标2：</w:t>
            </w:r>
          </w:p>
          <w:p w14:paraId="33C6881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w:t>
            </w:r>
          </w:p>
        </w:tc>
        <w:tc>
          <w:tcPr>
            <w:tcW w:w="2684" w:type="dxa"/>
            <w:gridSpan w:val="6"/>
            <w:noWrap w:val="0"/>
            <w:vAlign w:val="center"/>
          </w:tcPr>
          <w:p w14:paraId="0409EE84">
            <w:pPr>
              <w:autoSpaceDN w:val="0"/>
              <w:spacing w:line="320" w:lineRule="exact"/>
              <w:jc w:val="center"/>
              <w:textAlignment w:val="center"/>
              <w:rPr>
                <w:rFonts w:hint="eastAsia" w:ascii="仿宋_GB2312" w:hAnsi="仿宋_GB2312" w:eastAsia="仿宋_GB2312" w:cs="仿宋_GB2312"/>
                <w:b/>
                <w:color w:val="000000"/>
                <w:sz w:val="24"/>
              </w:rPr>
            </w:pPr>
          </w:p>
        </w:tc>
      </w:tr>
      <w:tr w14:paraId="75831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4" w:hRule="atLeast"/>
          <w:jc w:val="center"/>
        </w:trPr>
        <w:tc>
          <w:tcPr>
            <w:tcW w:w="1441" w:type="dxa"/>
            <w:vMerge w:val="continue"/>
            <w:noWrap w:val="0"/>
            <w:vAlign w:val="center"/>
          </w:tcPr>
          <w:p w14:paraId="6CDCB935">
            <w:pPr>
              <w:spacing w:line="320" w:lineRule="exact"/>
              <w:rPr>
                <w:rFonts w:hint="eastAsia" w:ascii="仿宋_GB2312" w:hAnsi="仿宋_GB2312" w:eastAsia="仿宋_GB2312" w:cs="仿宋_GB2312"/>
                <w:sz w:val="24"/>
              </w:rPr>
            </w:pPr>
          </w:p>
        </w:tc>
        <w:tc>
          <w:tcPr>
            <w:tcW w:w="1549" w:type="dxa"/>
            <w:gridSpan w:val="4"/>
            <w:vMerge w:val="continue"/>
            <w:noWrap w:val="0"/>
            <w:vAlign w:val="center"/>
          </w:tcPr>
          <w:p w14:paraId="34DFCB14">
            <w:pPr>
              <w:autoSpaceDN w:val="0"/>
              <w:spacing w:line="320" w:lineRule="exact"/>
              <w:rPr>
                <w:rFonts w:hint="eastAsia" w:ascii="仿宋_GB2312" w:hAnsi="仿宋_GB2312" w:eastAsia="仿宋_GB2312" w:cs="仿宋_GB2312"/>
                <w:sz w:val="24"/>
              </w:rPr>
            </w:pPr>
          </w:p>
        </w:tc>
        <w:tc>
          <w:tcPr>
            <w:tcW w:w="1417" w:type="dxa"/>
            <w:gridSpan w:val="2"/>
            <w:noWrap w:val="0"/>
            <w:vAlign w:val="center"/>
          </w:tcPr>
          <w:p w14:paraId="6F4671B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noWrap w:val="0"/>
            <w:vAlign w:val="center"/>
          </w:tcPr>
          <w:p w14:paraId="55EC7C2A">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 w:hAnsi="仿宋" w:eastAsia="仿宋" w:cs="宋体"/>
                <w:b/>
                <w:color w:val="3D3D3D"/>
                <w:kern w:val="0"/>
                <w:szCs w:val="21"/>
              </w:rPr>
              <w:t>工会工作获得社会基本认可</w:t>
            </w:r>
          </w:p>
        </w:tc>
        <w:tc>
          <w:tcPr>
            <w:tcW w:w="2684" w:type="dxa"/>
            <w:gridSpan w:val="6"/>
            <w:noWrap w:val="0"/>
            <w:vAlign w:val="center"/>
          </w:tcPr>
          <w:p w14:paraId="73CD5E43">
            <w:pPr>
              <w:autoSpaceDN w:val="0"/>
              <w:spacing w:line="320" w:lineRule="exact"/>
              <w:jc w:val="center"/>
              <w:textAlignment w:val="center"/>
              <w:rPr>
                <w:rFonts w:hint="eastAsia" w:ascii="仿宋_GB2312" w:hAnsi="仿宋_GB2312" w:eastAsia="仿宋_GB2312" w:cs="仿宋_GB2312"/>
                <w:b/>
                <w:color w:val="000000"/>
                <w:sz w:val="24"/>
              </w:rPr>
            </w:pPr>
            <w:r>
              <w:rPr>
                <w:rFonts w:hint="eastAsia" w:ascii="仿宋_GB2312" w:hAnsi="仿宋_GB2312" w:eastAsia="仿宋_GB2312" w:cs="仿宋_GB2312"/>
                <w:b/>
                <w:color w:val="000000"/>
                <w:sz w:val="24"/>
              </w:rPr>
              <w:t>90%</w:t>
            </w:r>
          </w:p>
        </w:tc>
      </w:tr>
      <w:tr w14:paraId="17EE4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85" w:hRule="atLeast"/>
          <w:jc w:val="center"/>
        </w:trPr>
        <w:tc>
          <w:tcPr>
            <w:tcW w:w="2990" w:type="dxa"/>
            <w:gridSpan w:val="5"/>
            <w:noWrap w:val="0"/>
            <w:vAlign w:val="center"/>
          </w:tcPr>
          <w:p w14:paraId="51C709F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noWrap w:val="0"/>
            <w:vAlign w:val="center"/>
          </w:tcPr>
          <w:p w14:paraId="555FA55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98</w:t>
            </w:r>
          </w:p>
        </w:tc>
      </w:tr>
      <w:tr w14:paraId="355E5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21" w:hRule="atLeast"/>
          <w:jc w:val="center"/>
        </w:trPr>
        <w:tc>
          <w:tcPr>
            <w:tcW w:w="2990" w:type="dxa"/>
            <w:gridSpan w:val="5"/>
            <w:noWrap w:val="0"/>
            <w:vAlign w:val="center"/>
          </w:tcPr>
          <w:p w14:paraId="4EE624E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noWrap w:val="0"/>
            <w:vAlign w:val="center"/>
          </w:tcPr>
          <w:p w14:paraId="241187C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14:paraId="211E0D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6" w:hRule="atLeast"/>
          <w:jc w:val="center"/>
        </w:trPr>
        <w:tc>
          <w:tcPr>
            <w:tcW w:w="9800" w:type="dxa"/>
            <w:gridSpan w:val="17"/>
            <w:noWrap w:val="0"/>
            <w:vAlign w:val="center"/>
          </w:tcPr>
          <w:p w14:paraId="25E86129">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14:paraId="000DC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4" w:type="dxa"/>
            <w:gridSpan w:val="2"/>
            <w:noWrap w:val="0"/>
            <w:vAlign w:val="center"/>
          </w:tcPr>
          <w:p w14:paraId="5A7199E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noWrap w:val="0"/>
            <w:vAlign w:val="center"/>
          </w:tcPr>
          <w:p w14:paraId="385F5E1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noWrap w:val="0"/>
            <w:vAlign w:val="center"/>
          </w:tcPr>
          <w:p w14:paraId="10186F4A">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noWrap w:val="0"/>
            <w:vAlign w:val="center"/>
          </w:tcPr>
          <w:p w14:paraId="629A2CB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14:paraId="0A5B0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14:paraId="76991B4B">
            <w:pPr>
              <w:autoSpaceDN w:val="0"/>
              <w:spacing w:line="32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李啸霆</w:t>
            </w:r>
          </w:p>
        </w:tc>
        <w:tc>
          <w:tcPr>
            <w:tcW w:w="3561" w:type="dxa"/>
            <w:gridSpan w:val="6"/>
            <w:noWrap w:val="0"/>
            <w:vAlign w:val="center"/>
          </w:tcPr>
          <w:p w14:paraId="4E72BF53">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党组书记</w:t>
            </w:r>
          </w:p>
        </w:tc>
        <w:tc>
          <w:tcPr>
            <w:tcW w:w="1479" w:type="dxa"/>
            <w:noWrap w:val="0"/>
            <w:vAlign w:val="center"/>
          </w:tcPr>
          <w:p w14:paraId="322AD1B4">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云溪区总工会</w:t>
            </w:r>
          </w:p>
        </w:tc>
        <w:tc>
          <w:tcPr>
            <w:tcW w:w="3106" w:type="dxa"/>
            <w:gridSpan w:val="8"/>
            <w:noWrap w:val="0"/>
            <w:vAlign w:val="center"/>
          </w:tcPr>
          <w:p w14:paraId="365C256D">
            <w:pPr>
              <w:autoSpaceDN w:val="0"/>
              <w:spacing w:line="320" w:lineRule="exact"/>
              <w:jc w:val="center"/>
              <w:textAlignment w:val="center"/>
              <w:rPr>
                <w:rFonts w:hint="eastAsia" w:ascii="仿宋_GB2312" w:hAnsi="仿宋_GB2312" w:eastAsia="仿宋_GB2312" w:cs="仿宋_GB2312"/>
                <w:color w:val="000000"/>
                <w:sz w:val="24"/>
              </w:rPr>
            </w:pPr>
          </w:p>
        </w:tc>
      </w:tr>
      <w:tr w14:paraId="70B30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14:paraId="1AF7E48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杨榕如</w:t>
            </w:r>
          </w:p>
        </w:tc>
        <w:tc>
          <w:tcPr>
            <w:tcW w:w="3561" w:type="dxa"/>
            <w:gridSpan w:val="6"/>
            <w:noWrap w:val="0"/>
            <w:vAlign w:val="center"/>
          </w:tcPr>
          <w:p w14:paraId="36DD6405">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经审主任</w:t>
            </w:r>
          </w:p>
        </w:tc>
        <w:tc>
          <w:tcPr>
            <w:tcW w:w="1479" w:type="dxa"/>
            <w:noWrap w:val="0"/>
            <w:vAlign w:val="center"/>
          </w:tcPr>
          <w:p w14:paraId="33E4519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云溪区总工会</w:t>
            </w:r>
          </w:p>
        </w:tc>
        <w:tc>
          <w:tcPr>
            <w:tcW w:w="3106" w:type="dxa"/>
            <w:gridSpan w:val="8"/>
            <w:noWrap w:val="0"/>
            <w:vAlign w:val="center"/>
          </w:tcPr>
          <w:p w14:paraId="68ACB857">
            <w:pPr>
              <w:autoSpaceDN w:val="0"/>
              <w:spacing w:line="320" w:lineRule="exact"/>
              <w:jc w:val="center"/>
              <w:textAlignment w:val="center"/>
              <w:rPr>
                <w:rFonts w:hint="eastAsia" w:ascii="仿宋_GB2312" w:hAnsi="仿宋_GB2312" w:eastAsia="仿宋_GB2312" w:cs="仿宋_GB2312"/>
                <w:color w:val="000000"/>
                <w:sz w:val="24"/>
              </w:rPr>
            </w:pPr>
          </w:p>
        </w:tc>
      </w:tr>
      <w:tr w14:paraId="39460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14:paraId="60570D3E">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丁敏湘</w:t>
            </w:r>
          </w:p>
        </w:tc>
        <w:tc>
          <w:tcPr>
            <w:tcW w:w="3561" w:type="dxa"/>
            <w:gridSpan w:val="6"/>
            <w:noWrap w:val="0"/>
            <w:vAlign w:val="center"/>
          </w:tcPr>
          <w:p w14:paraId="0F37010C">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副主席</w:t>
            </w:r>
          </w:p>
        </w:tc>
        <w:tc>
          <w:tcPr>
            <w:tcW w:w="1479" w:type="dxa"/>
            <w:noWrap w:val="0"/>
            <w:vAlign w:val="center"/>
          </w:tcPr>
          <w:p w14:paraId="0BF9C8A6">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云溪区总工会</w:t>
            </w:r>
          </w:p>
        </w:tc>
        <w:tc>
          <w:tcPr>
            <w:tcW w:w="3106" w:type="dxa"/>
            <w:gridSpan w:val="8"/>
            <w:noWrap w:val="0"/>
            <w:vAlign w:val="center"/>
          </w:tcPr>
          <w:p w14:paraId="2BBB20F0">
            <w:pPr>
              <w:autoSpaceDN w:val="0"/>
              <w:spacing w:line="320" w:lineRule="exact"/>
              <w:jc w:val="center"/>
              <w:textAlignment w:val="center"/>
              <w:rPr>
                <w:rFonts w:hint="eastAsia" w:ascii="仿宋_GB2312" w:hAnsi="仿宋_GB2312" w:eastAsia="仿宋_GB2312" w:cs="仿宋_GB2312"/>
                <w:color w:val="000000"/>
                <w:sz w:val="24"/>
              </w:rPr>
            </w:pPr>
          </w:p>
        </w:tc>
      </w:tr>
      <w:tr w14:paraId="1A131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4" w:type="dxa"/>
            <w:gridSpan w:val="2"/>
            <w:noWrap w:val="0"/>
            <w:vAlign w:val="center"/>
          </w:tcPr>
          <w:p w14:paraId="09E979D2">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曾庆国</w:t>
            </w:r>
          </w:p>
        </w:tc>
        <w:tc>
          <w:tcPr>
            <w:tcW w:w="3561" w:type="dxa"/>
            <w:gridSpan w:val="6"/>
            <w:noWrap w:val="0"/>
            <w:vAlign w:val="center"/>
          </w:tcPr>
          <w:p w14:paraId="48D3C26B">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办公室主任</w:t>
            </w:r>
          </w:p>
        </w:tc>
        <w:tc>
          <w:tcPr>
            <w:tcW w:w="1479" w:type="dxa"/>
            <w:noWrap w:val="0"/>
            <w:vAlign w:val="center"/>
          </w:tcPr>
          <w:p w14:paraId="40322A4F">
            <w:pPr>
              <w:autoSpaceDN w:val="0"/>
              <w:spacing w:line="32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云溪区总工会</w:t>
            </w:r>
          </w:p>
        </w:tc>
        <w:tc>
          <w:tcPr>
            <w:tcW w:w="3106" w:type="dxa"/>
            <w:gridSpan w:val="8"/>
            <w:noWrap w:val="0"/>
            <w:vAlign w:val="center"/>
          </w:tcPr>
          <w:p w14:paraId="592E19BC">
            <w:pPr>
              <w:autoSpaceDN w:val="0"/>
              <w:spacing w:line="320" w:lineRule="exact"/>
              <w:jc w:val="center"/>
              <w:textAlignment w:val="center"/>
              <w:rPr>
                <w:rFonts w:hint="eastAsia" w:ascii="仿宋_GB2312" w:hAnsi="仿宋_GB2312" w:eastAsia="仿宋_GB2312" w:cs="仿宋_GB2312"/>
                <w:color w:val="000000"/>
                <w:sz w:val="24"/>
              </w:rPr>
            </w:pPr>
          </w:p>
        </w:tc>
      </w:tr>
      <w:tr w14:paraId="1D3C7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14:paraId="331942C4">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14:paraId="08EBF14A">
            <w:pPr>
              <w:autoSpaceDN w:val="0"/>
              <w:spacing w:line="320" w:lineRule="exact"/>
              <w:jc w:val="left"/>
              <w:textAlignment w:val="center"/>
              <w:rPr>
                <w:rFonts w:hint="eastAsia" w:ascii="仿宋_GB2312" w:hAnsi="仿宋_GB2312" w:eastAsia="仿宋_GB2312" w:cs="仿宋_GB2312"/>
                <w:color w:val="000000"/>
                <w:sz w:val="24"/>
              </w:rPr>
            </w:pPr>
          </w:p>
          <w:p w14:paraId="20B851CA">
            <w:pPr>
              <w:autoSpaceDN w:val="0"/>
              <w:spacing w:line="320" w:lineRule="exact"/>
              <w:jc w:val="left"/>
              <w:textAlignment w:val="center"/>
              <w:rPr>
                <w:rFonts w:hint="eastAsia" w:ascii="仿宋_GB2312" w:hAnsi="仿宋_GB2312" w:eastAsia="仿宋_GB2312" w:cs="仿宋_GB2312"/>
                <w:color w:val="000000"/>
                <w:sz w:val="24"/>
              </w:rPr>
            </w:pPr>
          </w:p>
          <w:p w14:paraId="242CF3E6">
            <w:pPr>
              <w:autoSpaceDN w:val="0"/>
              <w:spacing w:line="320" w:lineRule="exact"/>
              <w:jc w:val="left"/>
              <w:textAlignment w:val="center"/>
              <w:rPr>
                <w:rFonts w:hint="eastAsia" w:ascii="仿宋_GB2312" w:hAnsi="仿宋_GB2312" w:eastAsia="仿宋_GB2312" w:cs="仿宋_GB2312"/>
                <w:color w:val="000000"/>
                <w:sz w:val="24"/>
              </w:rPr>
            </w:pPr>
          </w:p>
          <w:p w14:paraId="00461266">
            <w:pPr>
              <w:autoSpaceDN w:val="0"/>
              <w:spacing w:line="320" w:lineRule="exact"/>
              <w:jc w:val="left"/>
              <w:textAlignment w:val="center"/>
              <w:rPr>
                <w:rFonts w:hint="eastAsia" w:ascii="仿宋_GB2312" w:hAnsi="仿宋_GB2312" w:eastAsia="仿宋_GB2312" w:cs="仿宋_GB2312"/>
                <w:color w:val="000000"/>
                <w:sz w:val="24"/>
              </w:rPr>
            </w:pPr>
          </w:p>
          <w:p w14:paraId="5F65FCA8">
            <w:pPr>
              <w:autoSpaceDN w:val="0"/>
              <w:spacing w:line="320" w:lineRule="exact"/>
              <w:jc w:val="left"/>
              <w:textAlignment w:val="center"/>
              <w:rPr>
                <w:rFonts w:hint="eastAsia" w:ascii="仿宋_GB2312" w:hAnsi="仿宋_GB2312" w:eastAsia="仿宋_GB2312" w:cs="仿宋_GB2312"/>
                <w:color w:val="000000"/>
                <w:sz w:val="24"/>
              </w:rPr>
            </w:pPr>
          </w:p>
          <w:p w14:paraId="3B3207B5">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34CAA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22" w:hRule="atLeast"/>
          <w:jc w:val="center"/>
        </w:trPr>
        <w:tc>
          <w:tcPr>
            <w:tcW w:w="9800" w:type="dxa"/>
            <w:gridSpan w:val="17"/>
            <w:noWrap w:val="0"/>
            <w:vAlign w:val="center"/>
          </w:tcPr>
          <w:p w14:paraId="7736124B">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14:paraId="24953659">
            <w:pPr>
              <w:autoSpaceDN w:val="0"/>
              <w:spacing w:line="320" w:lineRule="exact"/>
              <w:jc w:val="left"/>
              <w:textAlignment w:val="center"/>
              <w:rPr>
                <w:rFonts w:hint="eastAsia" w:ascii="仿宋_GB2312" w:hAnsi="仿宋_GB2312" w:eastAsia="仿宋_GB2312" w:cs="仿宋_GB2312"/>
                <w:color w:val="000000"/>
                <w:sz w:val="24"/>
              </w:rPr>
            </w:pPr>
          </w:p>
          <w:p w14:paraId="752BC3CE">
            <w:pPr>
              <w:autoSpaceDN w:val="0"/>
              <w:spacing w:line="320" w:lineRule="exact"/>
              <w:jc w:val="left"/>
              <w:textAlignment w:val="center"/>
              <w:rPr>
                <w:rFonts w:hint="eastAsia" w:ascii="仿宋_GB2312" w:hAnsi="仿宋_GB2312" w:eastAsia="仿宋_GB2312" w:cs="仿宋_GB2312"/>
                <w:color w:val="000000"/>
                <w:sz w:val="24"/>
              </w:rPr>
            </w:pPr>
          </w:p>
          <w:p w14:paraId="4321553E">
            <w:pPr>
              <w:autoSpaceDN w:val="0"/>
              <w:spacing w:line="320" w:lineRule="exact"/>
              <w:jc w:val="left"/>
              <w:textAlignment w:val="center"/>
              <w:rPr>
                <w:rFonts w:hint="eastAsia" w:ascii="仿宋_GB2312" w:hAnsi="仿宋_GB2312" w:eastAsia="仿宋_GB2312" w:cs="仿宋_GB2312"/>
                <w:color w:val="000000"/>
                <w:sz w:val="24"/>
              </w:rPr>
            </w:pPr>
          </w:p>
          <w:p w14:paraId="731DB27E">
            <w:pPr>
              <w:autoSpaceDN w:val="0"/>
              <w:spacing w:line="320" w:lineRule="exact"/>
              <w:jc w:val="left"/>
              <w:textAlignment w:val="center"/>
              <w:rPr>
                <w:rFonts w:hint="eastAsia" w:ascii="仿宋_GB2312" w:hAnsi="仿宋_GB2312" w:eastAsia="仿宋_GB2312" w:cs="仿宋_GB2312"/>
                <w:color w:val="000000"/>
                <w:sz w:val="24"/>
              </w:rPr>
            </w:pPr>
          </w:p>
          <w:p w14:paraId="7DA91CE3">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14:paraId="48086AFE">
            <w:pPr>
              <w:autoSpaceDN w:val="0"/>
              <w:spacing w:line="320" w:lineRule="exact"/>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14:paraId="65E9A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14:paraId="553459CA">
            <w:pPr>
              <w:spacing w:line="320" w:lineRule="exact"/>
              <w:rPr>
                <w:rFonts w:hint="eastAsia" w:eastAsia="仿宋_GB2312"/>
                <w:sz w:val="24"/>
              </w:rPr>
            </w:pPr>
            <w:r>
              <w:rPr>
                <w:rFonts w:hint="eastAsia" w:eastAsia="仿宋_GB2312"/>
                <w:sz w:val="24"/>
              </w:rPr>
              <w:t>财政部门归口业务股室意见：</w:t>
            </w:r>
          </w:p>
          <w:p w14:paraId="6596A566">
            <w:pPr>
              <w:spacing w:line="320" w:lineRule="exact"/>
              <w:rPr>
                <w:rFonts w:hint="eastAsia" w:eastAsia="仿宋_GB2312"/>
                <w:sz w:val="24"/>
              </w:rPr>
            </w:pPr>
          </w:p>
          <w:p w14:paraId="416DDF62">
            <w:pPr>
              <w:spacing w:line="320" w:lineRule="exact"/>
              <w:rPr>
                <w:rFonts w:hint="eastAsia" w:eastAsia="仿宋_GB2312"/>
                <w:sz w:val="24"/>
              </w:rPr>
            </w:pPr>
          </w:p>
          <w:p w14:paraId="139A123F">
            <w:pPr>
              <w:spacing w:line="320" w:lineRule="exact"/>
              <w:rPr>
                <w:rFonts w:hint="eastAsia" w:eastAsia="仿宋_GB2312"/>
                <w:sz w:val="24"/>
              </w:rPr>
            </w:pPr>
          </w:p>
          <w:p w14:paraId="395B0302">
            <w:pPr>
              <w:spacing w:line="320" w:lineRule="exact"/>
              <w:rPr>
                <w:rFonts w:hint="eastAsia" w:eastAsia="仿宋_GB2312"/>
                <w:sz w:val="24"/>
              </w:rPr>
            </w:pPr>
          </w:p>
          <w:p w14:paraId="132BE1EE">
            <w:pPr>
              <w:spacing w:line="320" w:lineRule="exact"/>
              <w:rPr>
                <w:rFonts w:hint="eastAsia" w:eastAsia="仿宋_GB2312"/>
                <w:sz w:val="24"/>
              </w:rPr>
            </w:pPr>
            <w:r>
              <w:rPr>
                <w:rFonts w:hint="eastAsia" w:eastAsia="仿宋_GB2312"/>
                <w:sz w:val="24"/>
              </w:rPr>
              <w:t xml:space="preserve">                                  财政部门归口业务股室负责人（签章）：</w:t>
            </w:r>
          </w:p>
          <w:p w14:paraId="19BCE502">
            <w:pPr>
              <w:autoSpaceDN w:val="0"/>
              <w:spacing w:line="320" w:lineRule="exact"/>
              <w:jc w:val="left"/>
              <w:textAlignment w:val="center"/>
              <w:rPr>
                <w:rFonts w:hint="eastAsia" w:ascii="仿宋_GB2312" w:hAnsi="仿宋_GB2312" w:eastAsia="仿宋_GB2312" w:cs="仿宋_GB2312"/>
                <w:color w:val="000000"/>
                <w:sz w:val="24"/>
              </w:rPr>
            </w:pPr>
            <w:r>
              <w:rPr>
                <w:rFonts w:hint="eastAsia" w:eastAsia="仿宋_GB2312"/>
                <w:sz w:val="24"/>
              </w:rPr>
              <w:t xml:space="preserve">                                                                 年    月   日</w:t>
            </w:r>
          </w:p>
        </w:tc>
      </w:tr>
    </w:tbl>
    <w:p w14:paraId="6082DCD9">
      <w:pPr>
        <w:rPr>
          <w:rFonts w:hint="eastAsia" w:eastAsia="仿宋_GB2312" w:cs="仿宋_GB2312"/>
          <w:bCs/>
          <w:sz w:val="28"/>
          <w:szCs w:val="28"/>
        </w:rPr>
      </w:pPr>
      <w:r>
        <w:rPr>
          <w:rFonts w:hint="eastAsia" w:eastAsia="仿宋_GB2312" w:cs="仿宋_GB2312"/>
          <w:bCs/>
          <w:sz w:val="28"/>
          <w:szCs w:val="28"/>
        </w:rPr>
        <w:t>填报人（签名）：李红英                    联系电话：8410259</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14:paraId="7624E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8" w:hRule="atLeast"/>
          <w:jc w:val="center"/>
        </w:trPr>
        <w:tc>
          <w:tcPr>
            <w:tcW w:w="9558" w:type="dxa"/>
            <w:noWrap w:val="0"/>
            <w:vAlign w:val="top"/>
          </w:tcPr>
          <w:p w14:paraId="78BD8DB9">
            <w:pPr>
              <w:jc w:val="center"/>
              <w:rPr>
                <w:rFonts w:hint="eastAsia" w:ascii="黑体" w:hAnsi="黑体" w:eastAsia="黑体" w:cs="黑体"/>
                <w:bCs/>
                <w:sz w:val="28"/>
                <w:szCs w:val="28"/>
              </w:rPr>
            </w:pPr>
            <w:r>
              <w:rPr>
                <w:rFonts w:hint="eastAsia" w:ascii="黑体" w:hAnsi="黑体" w:eastAsia="黑体" w:cs="黑体"/>
                <w:bCs/>
                <w:sz w:val="28"/>
                <w:szCs w:val="28"/>
              </w:rPr>
              <w:t>五、评价报告综述</w:t>
            </w:r>
          </w:p>
          <w:p w14:paraId="6D0C8EB3">
            <w:pPr>
              <w:spacing w:line="500" w:lineRule="exact"/>
              <w:ind w:firstLine="640" w:firstLineChars="200"/>
              <w:rPr>
                <w:rFonts w:hint="eastAsia" w:eastAsia="仿宋_GB2312"/>
                <w:sz w:val="32"/>
                <w:szCs w:val="32"/>
              </w:rPr>
            </w:pPr>
          </w:p>
          <w:p w14:paraId="12E0826A">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一、部门（单位）概况</w:t>
            </w:r>
          </w:p>
          <w:p w14:paraId="051F3D8B">
            <w:pPr>
              <w:spacing w:line="540" w:lineRule="exact"/>
              <w:ind w:firstLine="480" w:firstLineChars="200"/>
              <w:rPr>
                <w:rFonts w:hint="eastAsia" w:ascii="仿宋_GB2312" w:hAnsi="仿宋" w:eastAsia="仿宋_GB2312"/>
                <w:sz w:val="24"/>
              </w:rPr>
            </w:pPr>
            <w:r>
              <w:rPr>
                <w:rFonts w:hint="eastAsia" w:ascii="仿宋_GB2312" w:hAnsi="仿宋" w:eastAsia="仿宋_GB2312"/>
                <w:sz w:val="24"/>
              </w:rPr>
              <w:t>1．主要职能。</w:t>
            </w:r>
          </w:p>
          <w:p w14:paraId="09F797E5">
            <w:pPr>
              <w:spacing w:line="540" w:lineRule="exact"/>
              <w:ind w:firstLine="480" w:firstLineChars="200"/>
              <w:rPr>
                <w:rFonts w:hint="eastAsia" w:ascii="仿宋" w:hAnsi="仿宋" w:eastAsia="仿宋"/>
                <w:color w:val="333333"/>
                <w:sz w:val="24"/>
              </w:rPr>
            </w:pPr>
            <w:r>
              <w:rPr>
                <w:rFonts w:ascii="仿宋" w:hAnsi="仿宋" w:eastAsia="仿宋"/>
                <w:color w:val="333333"/>
                <w:sz w:val="24"/>
              </w:rPr>
              <w:t>1、贯彻党和国家关于工会工作的方针、政策和上级工会的的指示，确定全区工会工作的指导思想和工作任务，指导全区工人运动和工会工作，独立自主地开展工会各项活动。</w:t>
            </w:r>
          </w:p>
          <w:p w14:paraId="1F151C7D">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2、依照《工会法》、《劳动法》和《中国工会章程》等有关法律法规，组织和指导全区各级工会履行工会的"维护、建设、参与、教育"等项社会职能。根据基层工会的要求，与有关方面协调解决有关问题。</w:t>
            </w:r>
          </w:p>
          <w:p w14:paraId="36A5C2E8">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3、对关系职工利益的重大问题进行调查研究。向区委、区政府和上级工会及时反映职工的愿望和要求，并提出意见和建议。</w:t>
            </w:r>
          </w:p>
          <w:p w14:paraId="71088388">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4、代表职工协调劳动关系。监督检查劳动法律法规执行情况，协调处理违反劳动法律、法规的案件；为基层工会和职工群众提供法律咨询服务，维护社会稳定。</w:t>
            </w:r>
          </w:p>
          <w:p w14:paraId="1CA7E113">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5、指导基层企事业单位职工民主参与、民主管理和民主监督工作。指导企业工会与行政建立平等协商、签订集体合同制度。</w:t>
            </w:r>
          </w:p>
          <w:p w14:paraId="6AF9D7B7">
            <w:pPr>
              <w:spacing w:line="540" w:lineRule="exact"/>
              <w:ind w:firstLine="480" w:firstLineChars="200"/>
              <w:rPr>
                <w:rFonts w:hint="eastAsia" w:ascii="仿宋" w:hAnsi="仿宋" w:eastAsia="仿宋"/>
                <w:color w:val="333333"/>
                <w:sz w:val="24"/>
              </w:rPr>
            </w:pPr>
            <w:r>
              <w:rPr>
                <w:rFonts w:ascii="仿宋" w:hAnsi="仿宋" w:eastAsia="仿宋"/>
                <w:color w:val="333333"/>
                <w:sz w:val="24"/>
              </w:rPr>
              <w:t>6、协助区政府做好劳动模范的推荐、评选工作。动员和组织职工开展群众性劳动竞赛和合理化建议、技术练兵、技术革新、技术协作活动，促进企业经济发展和社会进步。指导全区工会群众性劳动保护、安全生产工作。</w:t>
            </w:r>
          </w:p>
          <w:p w14:paraId="58452B6D">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7、负责全区各级工会组织建设工作。指导各级工会开展建设"职工之家"活动；做好工会干部的管理和培训工作。 </w:t>
            </w:r>
            <w:r>
              <w:rPr>
                <w:rFonts w:hint="eastAsia" w:ascii="仿宋" w:hAnsi="仿宋" w:eastAsia="仿宋"/>
                <w:color w:val="333333"/>
                <w:sz w:val="24"/>
              </w:rPr>
              <w:t>　　</w:t>
            </w:r>
          </w:p>
          <w:p w14:paraId="3F07B009">
            <w:pPr>
              <w:spacing w:line="540" w:lineRule="exact"/>
              <w:ind w:firstLine="480" w:firstLineChars="200"/>
              <w:rPr>
                <w:rFonts w:hint="eastAsia" w:ascii="仿宋" w:hAnsi="仿宋" w:eastAsia="仿宋"/>
                <w:color w:val="333333"/>
                <w:sz w:val="24"/>
              </w:rPr>
            </w:pPr>
            <w:r>
              <w:rPr>
                <w:rFonts w:ascii="仿宋" w:hAnsi="仿宋" w:eastAsia="仿宋"/>
                <w:color w:val="333333"/>
                <w:sz w:val="24"/>
              </w:rPr>
              <w:t>8、负责全区工会经费的管理、审查、审计工作。指导、协调全区工会企事业单位的发展工作。负责管理和监督工会企事业。</w:t>
            </w:r>
          </w:p>
          <w:p w14:paraId="6BE8B9A5">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9、教育职工增强主人翁责任感，提高职工思想道德科学文化技术素质。建设有理想、有道德、有文化、有纪律的职工队伍。广泛开展各种健康有益的文化体育活动。</w:t>
            </w:r>
          </w:p>
          <w:p w14:paraId="167AFA89">
            <w:pPr>
              <w:spacing w:line="540" w:lineRule="exact"/>
              <w:ind w:firstLine="480" w:firstLineChars="200"/>
              <w:rPr>
                <w:rFonts w:hint="eastAsia" w:ascii="仿宋" w:hAnsi="仿宋" w:eastAsia="仿宋"/>
                <w:color w:val="333333"/>
                <w:sz w:val="24"/>
              </w:rPr>
            </w:pPr>
            <w:r>
              <w:rPr>
                <w:rFonts w:ascii="仿宋" w:hAnsi="仿宋" w:eastAsia="仿宋"/>
                <w:color w:val="333333"/>
                <w:sz w:val="24"/>
              </w:rPr>
              <w:t xml:space="preserve"> 10、指导基层工会做好女职工工作，积极宣传、贯彻执行国家保护妇女的方针政策，维护女职工的合法权益。 </w:t>
            </w:r>
          </w:p>
          <w:p w14:paraId="4F78E9EE">
            <w:pPr>
              <w:spacing w:line="540" w:lineRule="exact"/>
              <w:ind w:firstLine="480" w:firstLineChars="200"/>
              <w:rPr>
                <w:rFonts w:hint="eastAsia" w:ascii="仿宋" w:hAnsi="仿宋" w:eastAsia="仿宋"/>
                <w:sz w:val="24"/>
              </w:rPr>
            </w:pPr>
            <w:r>
              <w:rPr>
                <w:rFonts w:ascii="仿宋" w:hAnsi="仿宋" w:eastAsia="仿宋"/>
                <w:color w:val="333333"/>
                <w:sz w:val="24"/>
              </w:rPr>
              <w:t>11、承办区委、区政府、上级工会交办的其他事项。</w:t>
            </w:r>
          </w:p>
          <w:p w14:paraId="47282BB0">
            <w:pPr>
              <w:snapToGrid w:val="0"/>
              <w:spacing w:line="520" w:lineRule="exact"/>
              <w:ind w:firstLine="480" w:firstLineChars="200"/>
              <w:rPr>
                <w:rFonts w:hint="eastAsia" w:ascii="仿宋_GB2312" w:hAnsi="仿宋" w:eastAsia="仿宋_GB2312"/>
                <w:sz w:val="24"/>
              </w:rPr>
            </w:pPr>
            <w:r>
              <w:rPr>
                <w:rFonts w:hint="eastAsia" w:ascii="仿宋_GB2312" w:hAnsi="仿宋" w:eastAsia="仿宋_GB2312"/>
                <w:sz w:val="24"/>
              </w:rPr>
              <w:t>2．机构情况，本单位为行政一级部门预算单位,机关内设两个部门（综合管理办公室、女工部）。</w:t>
            </w:r>
          </w:p>
          <w:p w14:paraId="45F63649">
            <w:pPr>
              <w:snapToGrid w:val="0"/>
              <w:spacing w:line="520" w:lineRule="exact"/>
              <w:ind w:firstLine="480" w:firstLineChars="200"/>
              <w:rPr>
                <w:rFonts w:hint="eastAsia" w:ascii="仿宋_GB2312" w:hAnsi="仿宋" w:eastAsia="仿宋_GB2312"/>
                <w:sz w:val="24"/>
              </w:rPr>
            </w:pPr>
            <w:r>
              <w:rPr>
                <w:rFonts w:hint="eastAsia" w:ascii="仿宋_GB2312" w:hAnsi="仿宋" w:eastAsia="仿宋_GB2312"/>
                <w:sz w:val="24"/>
              </w:rPr>
              <w:t>3．人员情况，现有在职人数</w:t>
            </w:r>
            <w:r>
              <w:rPr>
                <w:rFonts w:hint="eastAsia" w:ascii="仿宋_GB2312" w:hAnsi="仿宋" w:eastAsia="仿宋_GB2312"/>
                <w:sz w:val="24"/>
                <w:lang w:val="en-US" w:eastAsia="zh-CN"/>
              </w:rPr>
              <w:t>16</w:t>
            </w:r>
            <w:r>
              <w:rPr>
                <w:rFonts w:hint="eastAsia" w:ascii="仿宋_GB2312" w:hAnsi="仿宋" w:eastAsia="仿宋_GB2312"/>
                <w:sz w:val="24"/>
              </w:rPr>
              <w:t>人，其中行政人员</w:t>
            </w:r>
            <w:r>
              <w:rPr>
                <w:rFonts w:hint="eastAsia" w:ascii="仿宋_GB2312" w:hAnsi="仿宋" w:eastAsia="仿宋_GB2312"/>
                <w:sz w:val="24"/>
                <w:lang w:val="en-US" w:eastAsia="zh-CN"/>
              </w:rPr>
              <w:t>10</w:t>
            </w:r>
            <w:r>
              <w:rPr>
                <w:rFonts w:hint="eastAsia" w:ascii="仿宋_GB2312" w:hAnsi="仿宋" w:eastAsia="仿宋_GB2312"/>
                <w:sz w:val="24"/>
              </w:rPr>
              <w:t>人，非参公事业人员6人。</w:t>
            </w:r>
          </w:p>
          <w:p w14:paraId="2150EA2E">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二、一般公人预算支出情况</w:t>
            </w:r>
          </w:p>
          <w:p w14:paraId="7C4B2E06">
            <w:pPr>
              <w:spacing w:line="500" w:lineRule="exact"/>
              <w:ind w:firstLine="480" w:firstLineChars="200"/>
              <w:rPr>
                <w:rFonts w:hint="eastAsia" w:ascii="宋体" w:hAnsi="宋体" w:cs="宋体"/>
                <w:bCs/>
                <w:sz w:val="24"/>
              </w:rPr>
            </w:pPr>
            <w:r>
              <w:rPr>
                <w:rFonts w:hint="eastAsia" w:ascii="宋体" w:hAnsi="宋体" w:cs="宋体"/>
                <w:bCs/>
                <w:sz w:val="24"/>
              </w:rPr>
              <w:t>（一）基本支出情况</w:t>
            </w:r>
          </w:p>
          <w:p w14:paraId="2C30908F">
            <w:pPr>
              <w:spacing w:line="500" w:lineRule="exact"/>
              <w:ind w:firstLine="480" w:firstLineChars="200"/>
              <w:rPr>
                <w:rFonts w:hint="eastAsia" w:ascii="宋体" w:hAnsi="宋体" w:cs="宋体"/>
                <w:bCs/>
                <w:sz w:val="24"/>
              </w:rPr>
            </w:pPr>
            <w:r>
              <w:rPr>
                <w:rFonts w:hint="eastAsia" w:ascii="仿宋" w:hAnsi="仿宋" w:eastAsia="仿宋"/>
                <w:sz w:val="24"/>
              </w:rPr>
              <w:t>基本支出</w:t>
            </w:r>
            <w:r>
              <w:rPr>
                <w:rFonts w:hint="eastAsia" w:ascii="仿宋" w:hAnsi="仿宋" w:eastAsia="仿宋"/>
                <w:sz w:val="24"/>
                <w:lang w:val="en-US" w:eastAsia="zh-CN"/>
              </w:rPr>
              <w:t>467</w:t>
            </w:r>
            <w:r>
              <w:rPr>
                <w:rFonts w:hint="eastAsia" w:ascii="仿宋" w:hAnsi="仿宋" w:eastAsia="仿宋"/>
                <w:sz w:val="24"/>
              </w:rPr>
              <w:t>万元，其中工资福利支出</w:t>
            </w:r>
            <w:r>
              <w:rPr>
                <w:rFonts w:hint="eastAsia" w:ascii="仿宋" w:hAnsi="仿宋" w:eastAsia="仿宋"/>
                <w:sz w:val="24"/>
                <w:lang w:val="en-US" w:eastAsia="zh-CN"/>
              </w:rPr>
              <w:t>132.5</w:t>
            </w:r>
            <w:r>
              <w:rPr>
                <w:rFonts w:hint="eastAsia" w:ascii="仿宋" w:hAnsi="仿宋" w:eastAsia="仿宋"/>
                <w:sz w:val="24"/>
              </w:rPr>
              <w:t>万元、一般商品和服务支出</w:t>
            </w:r>
            <w:r>
              <w:rPr>
                <w:rFonts w:hint="eastAsia" w:ascii="仿宋" w:hAnsi="仿宋" w:eastAsia="仿宋"/>
                <w:sz w:val="24"/>
                <w:lang w:val="en-US" w:eastAsia="zh-CN"/>
              </w:rPr>
              <w:t>61.31</w:t>
            </w:r>
            <w:r>
              <w:rPr>
                <w:rFonts w:hint="eastAsia" w:ascii="仿宋" w:hAnsi="仿宋" w:eastAsia="仿宋"/>
                <w:sz w:val="24"/>
              </w:rPr>
              <w:t>万元、对个人和家庭补助支出</w:t>
            </w:r>
            <w:r>
              <w:rPr>
                <w:rFonts w:hint="eastAsia" w:ascii="仿宋" w:hAnsi="仿宋" w:eastAsia="仿宋"/>
                <w:sz w:val="24"/>
                <w:lang w:val="en-US" w:eastAsia="zh-CN"/>
              </w:rPr>
              <w:t>116.15</w:t>
            </w:r>
            <w:r>
              <w:rPr>
                <w:rFonts w:hint="eastAsia" w:ascii="仿宋" w:hAnsi="仿宋" w:eastAsia="仿宋"/>
                <w:sz w:val="24"/>
              </w:rPr>
              <w:t>万元。</w:t>
            </w:r>
          </w:p>
          <w:p w14:paraId="22A78AD0">
            <w:pPr>
              <w:spacing w:line="500" w:lineRule="exact"/>
              <w:ind w:firstLine="480" w:firstLineChars="200"/>
              <w:rPr>
                <w:rFonts w:hint="eastAsia" w:ascii="宋体" w:hAnsi="宋体" w:cs="宋体"/>
                <w:bCs/>
                <w:sz w:val="24"/>
              </w:rPr>
            </w:pPr>
            <w:r>
              <w:rPr>
                <w:rFonts w:hint="eastAsia" w:ascii="宋体" w:hAnsi="宋体" w:cs="宋体"/>
                <w:bCs/>
                <w:sz w:val="24"/>
              </w:rPr>
              <w:t>（二）项目支出情况</w:t>
            </w:r>
          </w:p>
          <w:p w14:paraId="6BCE7059">
            <w:pPr>
              <w:spacing w:line="560" w:lineRule="exact"/>
              <w:ind w:firstLine="700" w:firstLineChars="250"/>
              <w:rPr>
                <w:rFonts w:hint="eastAsia" w:ascii="仿宋" w:hAnsi="仿宋" w:eastAsia="仿宋" w:cs="仿宋_GB2312"/>
                <w:bCs/>
                <w:sz w:val="28"/>
                <w:szCs w:val="28"/>
              </w:rPr>
            </w:pPr>
            <w:r>
              <w:rPr>
                <w:rFonts w:hint="eastAsia" w:ascii="仿宋" w:hAnsi="仿宋" w:eastAsia="仿宋" w:cs="仿宋_GB2312"/>
                <w:bCs/>
                <w:sz w:val="28"/>
                <w:szCs w:val="28"/>
              </w:rPr>
              <w:t>202</w:t>
            </w:r>
            <w:r>
              <w:rPr>
                <w:rFonts w:hint="eastAsia" w:ascii="仿宋" w:hAnsi="仿宋" w:eastAsia="仿宋" w:cs="仿宋_GB2312"/>
                <w:bCs/>
                <w:sz w:val="28"/>
                <w:szCs w:val="28"/>
                <w:lang w:val="en-US" w:eastAsia="zh-CN"/>
              </w:rPr>
              <w:t>2</w:t>
            </w:r>
            <w:r>
              <w:rPr>
                <w:rFonts w:hint="eastAsia" w:ascii="仿宋" w:hAnsi="仿宋" w:eastAsia="仿宋" w:cs="仿宋_GB2312"/>
                <w:bCs/>
                <w:sz w:val="28"/>
                <w:szCs w:val="28"/>
              </w:rPr>
              <w:t>年度无项目支出</w:t>
            </w:r>
          </w:p>
          <w:p w14:paraId="50A2F7B5">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三、政府性基金预算支出情况：无</w:t>
            </w:r>
          </w:p>
          <w:p w14:paraId="33B58392">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四、国有资本经营预算支出情况：无</w:t>
            </w:r>
          </w:p>
          <w:p w14:paraId="0EFDA030">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五、社会保险基金预算支出情况：无</w:t>
            </w:r>
          </w:p>
          <w:p w14:paraId="12C3C190">
            <w:pPr>
              <w:spacing w:line="500" w:lineRule="exact"/>
              <w:ind w:firstLine="480" w:firstLineChars="200"/>
              <w:rPr>
                <w:rFonts w:hint="eastAsia" w:ascii="黑体" w:hAnsi="黑体" w:eastAsia="黑体" w:cs="黑体"/>
                <w:bCs/>
                <w:sz w:val="24"/>
              </w:rPr>
            </w:pPr>
            <w:r>
              <w:rPr>
                <w:rFonts w:hint="eastAsia" w:ascii="黑体" w:hAnsi="黑体" w:eastAsia="黑体" w:cs="黑体"/>
                <w:bCs/>
                <w:sz w:val="24"/>
              </w:rPr>
              <w:t>六、部门整体支出绩效情况</w:t>
            </w:r>
          </w:p>
          <w:p w14:paraId="31DCB00A">
            <w:pPr>
              <w:autoSpaceDN w:val="0"/>
              <w:spacing w:line="320" w:lineRule="exact"/>
              <w:ind w:firstLine="560" w:firstLineChars="200"/>
              <w:jc w:val="left"/>
              <w:textAlignment w:val="center"/>
              <w:rPr>
                <w:rFonts w:hint="eastAsia" w:ascii="仿宋_GB2312" w:hAnsi="仿宋_GB2312" w:eastAsia="仿宋_GB2312" w:cs="仿宋_GB2312"/>
                <w:color w:val="000000"/>
                <w:sz w:val="24"/>
              </w:rPr>
            </w:pPr>
            <w:r>
              <w:rPr>
                <w:rFonts w:hint="eastAsia" w:ascii="黑体" w:hAnsi="黑体" w:eastAsia="黑体" w:cs="黑体"/>
                <w:bCs/>
                <w:sz w:val="28"/>
                <w:szCs w:val="28"/>
                <w:lang w:val="en-US" w:eastAsia="zh-CN"/>
              </w:rPr>
              <w:t xml:space="preserve"> </w:t>
            </w:r>
            <w:r>
              <w:rPr>
                <w:rFonts w:hint="eastAsia" w:ascii="仿宋_GB2312" w:hAnsi="仿宋_GB2312" w:eastAsia="仿宋_GB2312" w:cs="仿宋_GB2312"/>
                <w:b/>
                <w:bCs/>
                <w:color w:val="000000"/>
                <w:sz w:val="24"/>
                <w:lang w:eastAsia="zh-CN"/>
              </w:rPr>
              <w:t>一、</w:t>
            </w:r>
            <w:r>
              <w:rPr>
                <w:rFonts w:hint="eastAsia" w:ascii="仿宋_GB2312" w:hAnsi="仿宋_GB2312" w:eastAsia="仿宋_GB2312" w:cs="仿宋_GB2312"/>
                <w:b/>
                <w:bCs/>
                <w:color w:val="000000"/>
                <w:sz w:val="24"/>
              </w:rPr>
              <w:t>突出党建带动，政治引领全面加强。</w:t>
            </w:r>
            <w:r>
              <w:rPr>
                <w:rFonts w:hint="eastAsia" w:ascii="仿宋_GB2312" w:hAnsi="仿宋_GB2312" w:eastAsia="仿宋_GB2312" w:cs="仿宋_GB2312"/>
                <w:color w:val="000000"/>
                <w:sz w:val="24"/>
                <w:lang w:eastAsia="zh-CN"/>
              </w:rPr>
              <w:t>顺应区委和市总工会目标管理要求，</w:t>
            </w:r>
            <w:r>
              <w:rPr>
                <w:rFonts w:hint="eastAsia" w:ascii="仿宋_GB2312" w:hAnsi="仿宋_GB2312" w:eastAsia="仿宋_GB2312" w:cs="仿宋_GB2312"/>
                <w:color w:val="000000"/>
                <w:sz w:val="24"/>
              </w:rPr>
              <w:t>把工会工作纳入综合绩效考核体系</w:t>
            </w:r>
            <w:r>
              <w:rPr>
                <w:rFonts w:hint="eastAsia" w:ascii="仿宋_GB2312" w:hAnsi="仿宋_GB2312" w:eastAsia="仿宋_GB2312" w:cs="仿宋_GB2312"/>
                <w:color w:val="000000"/>
                <w:sz w:val="24"/>
                <w:lang w:eastAsia="zh-CN"/>
              </w:rPr>
              <w:t>并提高分值</w:t>
            </w:r>
            <w:r>
              <w:rPr>
                <w:rFonts w:hint="eastAsia" w:ascii="仿宋_GB2312" w:hAnsi="仿宋_GB2312" w:eastAsia="仿宋_GB2312" w:cs="仿宋_GB2312"/>
                <w:color w:val="000000"/>
                <w:sz w:val="24"/>
              </w:rPr>
              <w:t>，层层压实责任，构建起党委领导、政府支持、工会主抓、各方协同的大工会工作格局。</w:t>
            </w:r>
            <w:r>
              <w:rPr>
                <w:rFonts w:hint="eastAsia" w:ascii="仿宋_GB2312" w:hAnsi="仿宋_GB2312" w:eastAsia="仿宋_GB2312" w:cs="仿宋_GB2312"/>
                <w:color w:val="000000"/>
                <w:sz w:val="24"/>
                <w:lang w:eastAsia="zh-CN"/>
              </w:rPr>
              <w:t>打好服务大局主动仗。</w:t>
            </w:r>
            <w:r>
              <w:rPr>
                <w:rFonts w:hint="eastAsia" w:ascii="仿宋_GB2312" w:hAnsi="仿宋_GB2312" w:eastAsia="仿宋_GB2312" w:cs="仿宋_GB2312"/>
                <w:color w:val="000000"/>
                <w:sz w:val="24"/>
              </w:rPr>
              <w:t>立足以优异成绩迎接党的二十大胜利召开，</w:t>
            </w:r>
            <w:r>
              <w:rPr>
                <w:rFonts w:hint="eastAsia" w:ascii="仿宋_GB2312" w:hAnsi="仿宋_GB2312" w:eastAsia="仿宋_GB2312" w:cs="仿宋_GB2312"/>
                <w:color w:val="000000"/>
                <w:sz w:val="24"/>
                <w:lang w:val="en-US" w:eastAsia="zh-CN"/>
              </w:rPr>
              <w:t>坚持谋在前、干在先，认真学习贯彻区镇村负责干部会议和省总、市总全会精神，明确全年工作要点，分月安排到岗到人。</w:t>
            </w:r>
            <w:r>
              <w:rPr>
                <w:rFonts w:hint="eastAsia" w:ascii="仿宋_GB2312" w:hAnsi="仿宋_GB2312" w:eastAsia="仿宋_GB2312" w:cs="仿宋_GB2312"/>
                <w:color w:val="000000"/>
                <w:sz w:val="24"/>
              </w:rPr>
              <w:t>今年9月省总工会召开“县级工会加强年”专项工作启动会后，</w:t>
            </w:r>
            <w:r>
              <w:rPr>
                <w:rFonts w:hint="eastAsia" w:ascii="仿宋_GB2312" w:hAnsi="仿宋_GB2312" w:eastAsia="仿宋_GB2312" w:cs="仿宋_GB2312"/>
                <w:color w:val="000000"/>
                <w:sz w:val="24"/>
                <w:lang w:eastAsia="zh-CN"/>
              </w:rPr>
              <w:t>党组</w:t>
            </w:r>
            <w:r>
              <w:rPr>
                <w:rFonts w:hint="eastAsia" w:ascii="仿宋_GB2312" w:hAnsi="仿宋_GB2312" w:eastAsia="仿宋_GB2312" w:cs="仿宋_GB2312"/>
                <w:color w:val="000000"/>
                <w:sz w:val="24"/>
              </w:rPr>
              <w:t>第一时间组织学习和研究部署，聚焦“六强”目标，出台和实施全区性行动方案，特别是抢抓省总工会联点云溪的契机，紧抓产改、维权服务等重点发力，得到了来区调研工作的省总工会副主席宋峥嵘</w:t>
            </w:r>
            <w:r>
              <w:rPr>
                <w:rFonts w:hint="eastAsia" w:ascii="仿宋_GB2312" w:hAnsi="仿宋_GB2312" w:eastAsia="仿宋_GB2312" w:cs="仿宋_GB2312"/>
                <w:color w:val="000000"/>
                <w:sz w:val="24"/>
                <w:lang w:eastAsia="zh-CN"/>
              </w:rPr>
              <w:t>同志</w:t>
            </w:r>
            <w:r>
              <w:rPr>
                <w:rFonts w:hint="eastAsia" w:ascii="仿宋_GB2312" w:hAnsi="仿宋_GB2312" w:eastAsia="仿宋_GB2312" w:cs="仿宋_GB2312"/>
                <w:color w:val="000000"/>
                <w:sz w:val="24"/>
              </w:rPr>
              <w:t>充分肯定。</w:t>
            </w:r>
            <w:r>
              <w:rPr>
                <w:rFonts w:hint="eastAsia" w:ascii="仿宋_GB2312" w:hAnsi="仿宋_GB2312" w:eastAsia="仿宋_GB2312" w:cs="仿宋_GB2312"/>
                <w:color w:val="000000"/>
                <w:sz w:val="24"/>
                <w:lang w:val="en-US" w:eastAsia="zh-CN"/>
              </w:rPr>
              <w:t>突出围绕大局、服务中心，统筹推进疫情防控和经济社会高质量发展，发出“游双清·赏樱花”户外拓展活动和“最严防控”倡议，</w:t>
            </w:r>
            <w:r>
              <w:rPr>
                <w:rFonts w:hint="eastAsia" w:ascii="仿宋_GB2312" w:hAnsi="仿宋_GB2312" w:eastAsia="仿宋_GB2312" w:cs="仿宋_GB2312"/>
                <w:color w:val="000000"/>
                <w:sz w:val="24"/>
              </w:rPr>
              <w:t>引导广大职工抢抓大机遇、推动大发展</w:t>
            </w:r>
            <w:r>
              <w:rPr>
                <w:rFonts w:hint="eastAsia" w:ascii="仿宋_GB2312" w:hAnsi="仿宋_GB2312" w:eastAsia="仿宋_GB2312" w:cs="仿宋_GB2312"/>
                <w:color w:val="000000"/>
                <w:sz w:val="24"/>
                <w:lang w:val="en-US" w:eastAsia="zh-CN"/>
              </w:rPr>
              <w:t>；</w:t>
            </w:r>
            <w:r>
              <w:rPr>
                <w:rFonts w:hint="eastAsia" w:ascii="仿宋_GB2312" w:hAnsi="仿宋_GB2312" w:eastAsia="仿宋_GB2312" w:cs="仿宋_GB2312"/>
                <w:color w:val="000000"/>
                <w:sz w:val="24"/>
              </w:rPr>
              <w:t>全面优化经济发展环境，安排专人联手帮扶企业（湘茂医药，益嘉包装)，做好驻企（长岭设备研究所）防疫指导员工作，实施小微企业工会经费支持政策，</w:t>
            </w:r>
            <w:r>
              <w:rPr>
                <w:rFonts w:hint="eastAsia" w:ascii="仿宋_GB2312" w:hAnsi="仿宋_GB2312" w:eastAsia="仿宋_GB2312" w:cs="仿宋_GB2312"/>
                <w:color w:val="000000"/>
                <w:sz w:val="24"/>
                <w:lang w:eastAsia="zh-CN"/>
              </w:rPr>
              <w:t>助力纾困解难</w:t>
            </w:r>
            <w:r>
              <w:rPr>
                <w:rFonts w:hint="eastAsia" w:ascii="仿宋_GB2312" w:hAnsi="仿宋_GB2312" w:eastAsia="仿宋_GB2312" w:cs="仿宋_GB2312"/>
                <w:color w:val="000000"/>
                <w:sz w:val="24"/>
              </w:rPr>
              <w:t>。助力乡村振兴，</w:t>
            </w:r>
            <w:r>
              <w:rPr>
                <w:rFonts w:hint="eastAsia" w:ascii="仿宋_GB2312" w:hAnsi="仿宋_GB2312" w:eastAsia="仿宋_GB2312" w:cs="仿宋_GB2312"/>
                <w:color w:val="000000"/>
                <w:sz w:val="24"/>
                <w:lang w:eastAsia="zh-CN"/>
              </w:rPr>
              <w:t>领导班子成员</w:t>
            </w:r>
            <w:r>
              <w:rPr>
                <w:rFonts w:hint="eastAsia" w:ascii="仿宋_GB2312" w:hAnsi="仿宋_GB2312" w:eastAsia="仿宋_GB2312" w:cs="仿宋_GB2312"/>
                <w:color w:val="000000"/>
                <w:sz w:val="24"/>
              </w:rPr>
              <w:t>多次到联点村南岳村走访、现场解难，并做好了</w:t>
            </w:r>
            <w:r>
              <w:rPr>
                <w:rFonts w:hint="eastAsia" w:ascii="仿宋_GB2312" w:hAnsi="仿宋_GB2312" w:eastAsia="仿宋_GB2312" w:cs="仿宋_GB2312"/>
                <w:color w:val="000000"/>
                <w:sz w:val="24"/>
                <w:lang w:eastAsia="zh-CN"/>
              </w:rPr>
              <w:t>农村自建房安全监控排查、</w:t>
            </w:r>
            <w:r>
              <w:rPr>
                <w:rFonts w:hint="eastAsia" w:ascii="仿宋_GB2312" w:hAnsi="仿宋_GB2312" w:eastAsia="仿宋_GB2312" w:cs="仿宋_GB2312"/>
                <w:color w:val="000000"/>
                <w:sz w:val="24"/>
              </w:rPr>
              <w:t>清溪水库</w:t>
            </w:r>
            <w:r>
              <w:rPr>
                <w:rFonts w:hint="eastAsia" w:ascii="仿宋_GB2312" w:hAnsi="仿宋_GB2312" w:eastAsia="仿宋_GB2312" w:cs="仿宋_GB2312"/>
                <w:color w:val="000000"/>
                <w:sz w:val="24"/>
                <w:lang w:eastAsia="zh-CN"/>
              </w:rPr>
              <w:t>防汛</w:t>
            </w:r>
            <w:r>
              <w:rPr>
                <w:rFonts w:hint="eastAsia" w:ascii="仿宋_GB2312" w:hAnsi="仿宋_GB2312" w:eastAsia="仿宋_GB2312" w:cs="仿宋_GB2312"/>
                <w:color w:val="000000"/>
                <w:sz w:val="24"/>
              </w:rPr>
              <w:t>监管等工作。</w:t>
            </w:r>
            <w:r>
              <w:rPr>
                <w:rFonts w:hint="eastAsia" w:ascii="仿宋_GB2312" w:hAnsi="仿宋_GB2312" w:eastAsia="仿宋_GB2312" w:cs="仿宋_GB2312"/>
                <w:color w:val="000000"/>
                <w:sz w:val="24"/>
                <w:lang w:eastAsia="zh-CN"/>
              </w:rPr>
              <w:t>拧紧理论思想总开关。</w:t>
            </w:r>
            <w:r>
              <w:rPr>
                <w:rFonts w:hint="eastAsia" w:ascii="仿宋_GB2312" w:hAnsi="仿宋_GB2312" w:eastAsia="仿宋_GB2312" w:cs="仿宋_GB2312"/>
                <w:color w:val="000000"/>
                <w:sz w:val="24"/>
              </w:rPr>
              <w:t>将</w:t>
            </w:r>
            <w:r>
              <w:rPr>
                <w:rFonts w:hint="eastAsia" w:ascii="仿宋_GB2312" w:hAnsi="仿宋_GB2312" w:eastAsia="仿宋_GB2312" w:cs="仿宋_GB2312"/>
                <w:color w:val="000000"/>
                <w:sz w:val="24"/>
                <w:lang w:eastAsia="zh-CN"/>
              </w:rPr>
              <w:t>政治理论</w:t>
            </w:r>
            <w:r>
              <w:rPr>
                <w:rFonts w:hint="eastAsia" w:ascii="仿宋_GB2312" w:hAnsi="仿宋_GB2312" w:eastAsia="仿宋_GB2312" w:cs="仿宋_GB2312"/>
                <w:color w:val="000000"/>
                <w:sz w:val="24"/>
              </w:rPr>
              <w:t>学习</w:t>
            </w:r>
            <w:r>
              <w:rPr>
                <w:rFonts w:hint="eastAsia" w:ascii="仿宋_GB2312" w:hAnsi="仿宋_GB2312" w:eastAsia="仿宋_GB2312" w:cs="仿宋_GB2312"/>
                <w:color w:val="000000"/>
                <w:sz w:val="24"/>
                <w:lang w:eastAsia="zh-CN"/>
              </w:rPr>
              <w:t>融入</w:t>
            </w:r>
            <w:r>
              <w:rPr>
                <w:rFonts w:hint="eastAsia" w:ascii="仿宋_GB2312" w:hAnsi="仿宋_GB2312" w:eastAsia="仿宋_GB2312" w:cs="仿宋_GB2312"/>
                <w:color w:val="000000"/>
                <w:sz w:val="24"/>
              </w:rPr>
              <w:t>党组中心组学习、“三会一课”等</w:t>
            </w:r>
            <w:r>
              <w:rPr>
                <w:rFonts w:hint="eastAsia" w:ascii="仿宋_GB2312" w:hAnsi="仿宋_GB2312" w:eastAsia="仿宋_GB2312" w:cs="仿宋_GB2312"/>
                <w:color w:val="000000"/>
                <w:sz w:val="24"/>
                <w:lang w:eastAsia="zh-CN"/>
              </w:rPr>
              <w:t>内容</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建立</w:t>
            </w:r>
            <w:r>
              <w:rPr>
                <w:rFonts w:hint="eastAsia" w:ascii="仿宋_GB2312" w:hAnsi="仿宋_GB2312" w:eastAsia="仿宋_GB2312" w:cs="仿宋_GB2312"/>
                <w:color w:val="000000"/>
                <w:sz w:val="24"/>
                <w:lang w:val="en-US" w:eastAsia="zh-CN"/>
              </w:rPr>
              <w:t>党组理论学习“第一议题”制度，成立青年理论学习小组</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着力构建全方位、多层次、互动式学习机制。</w:t>
            </w:r>
            <w:r>
              <w:rPr>
                <w:rFonts w:hint="eastAsia" w:ascii="仿宋_GB2312" w:hAnsi="仿宋_GB2312" w:eastAsia="仿宋_GB2312" w:cs="仿宋_GB2312"/>
                <w:color w:val="000000"/>
                <w:sz w:val="24"/>
                <w:lang w:val="en-US" w:eastAsia="zh-CN"/>
              </w:rPr>
              <w:t>以学习宣传贯彻党的二十大精神为主线，以“湘悦读、工力量”为抓手，</w:t>
            </w:r>
            <w:r>
              <w:rPr>
                <w:rFonts w:hint="eastAsia" w:ascii="仿宋_GB2312" w:hAnsi="仿宋_GB2312" w:eastAsia="仿宋_GB2312" w:cs="仿宋_GB2312"/>
                <w:color w:val="000000"/>
                <w:sz w:val="24"/>
              </w:rPr>
              <w:t>全面系统学习习近平新时代中国特色社会主义思想，深刻领悟习近平总书记关于工人阶级和工会工作的重要论述，推动了中央精神和上级决策部署在云溪工会系统落实落细。</w:t>
            </w:r>
            <w:r>
              <w:rPr>
                <w:rFonts w:hint="eastAsia" w:ascii="仿宋_GB2312" w:hAnsi="仿宋_GB2312" w:eastAsia="仿宋_GB2312" w:cs="仿宋_GB2312"/>
                <w:color w:val="000000"/>
                <w:sz w:val="24"/>
                <w:lang w:eastAsia="zh-CN"/>
              </w:rPr>
              <w:t>今年来，</w:t>
            </w:r>
            <w:r>
              <w:rPr>
                <w:rFonts w:hint="eastAsia" w:ascii="仿宋_GB2312" w:hAnsi="仿宋_GB2312" w:eastAsia="仿宋_GB2312" w:cs="仿宋_GB2312"/>
                <w:color w:val="000000"/>
                <w:sz w:val="24"/>
              </w:rPr>
              <w:t>党组中心组集中学习11次，</w:t>
            </w:r>
            <w:r>
              <w:rPr>
                <w:rFonts w:hint="eastAsia" w:ascii="仿宋_GB2312" w:hAnsi="仿宋_GB2312" w:eastAsia="仿宋_GB2312" w:cs="仿宋_GB2312"/>
                <w:color w:val="000000"/>
                <w:sz w:val="24"/>
                <w:lang w:val="en-US" w:eastAsia="zh-CN"/>
              </w:rPr>
              <w:t>青年理论学习小组还围绕学习贯彻十九届六中全会精神、党的二十大精神进行了专题讨论。</w:t>
            </w:r>
            <w:r>
              <w:rPr>
                <w:rFonts w:hint="eastAsia" w:ascii="仿宋_GB2312" w:hAnsi="仿宋_GB2312" w:eastAsia="仿宋_GB2312" w:cs="仿宋_GB2312"/>
                <w:color w:val="000000"/>
                <w:sz w:val="24"/>
                <w:lang w:eastAsia="zh-CN"/>
              </w:rPr>
              <w:t>绷紧意识形态工作这根弦。</w:t>
            </w:r>
            <w:r>
              <w:rPr>
                <w:rFonts w:hint="eastAsia" w:ascii="仿宋_GB2312" w:hAnsi="仿宋_GB2312" w:eastAsia="仿宋_GB2312" w:cs="仿宋_GB2312"/>
                <w:color w:val="000000"/>
                <w:sz w:val="24"/>
              </w:rPr>
              <w:t>高度重视宣传思想工作，策划宣传活动</w:t>
            </w:r>
            <w:r>
              <w:rPr>
                <w:rFonts w:hint="eastAsia" w:ascii="仿宋_GB2312" w:hAnsi="仿宋_GB2312" w:eastAsia="仿宋_GB2312" w:cs="仿宋_GB2312"/>
                <w:color w:val="000000"/>
                <w:sz w:val="24"/>
                <w:lang w:val="en-US" w:eastAsia="zh-CN"/>
              </w:rPr>
              <w:t>20余</w:t>
            </w:r>
            <w:r>
              <w:rPr>
                <w:rFonts w:hint="eastAsia" w:ascii="仿宋_GB2312" w:hAnsi="仿宋_GB2312" w:eastAsia="仿宋_GB2312" w:cs="仿宋_GB2312"/>
                <w:color w:val="000000"/>
                <w:sz w:val="24"/>
              </w:rPr>
              <w:t>次、在主流媒体发稿</w:t>
            </w:r>
            <w:r>
              <w:rPr>
                <w:rFonts w:hint="eastAsia" w:ascii="仿宋_GB2312" w:hAnsi="仿宋_GB2312" w:eastAsia="仿宋_GB2312" w:cs="仿宋_GB2312"/>
                <w:color w:val="000000"/>
                <w:sz w:val="24"/>
                <w:lang w:val="en-US" w:eastAsia="zh-CN"/>
              </w:rPr>
              <w:t>30余</w:t>
            </w:r>
            <w:r>
              <w:rPr>
                <w:rFonts w:hint="eastAsia" w:ascii="仿宋_GB2312" w:hAnsi="仿宋_GB2312" w:eastAsia="仿宋_GB2312" w:cs="仿宋_GB2312"/>
                <w:color w:val="000000"/>
                <w:sz w:val="24"/>
              </w:rPr>
              <w:t>篇，通过正面发声、正向激励，引领职工群众感党恩、听党话、跟党走，唱响了“好工人、向未来”主旋律。3次专题研究意识形态工作，积极配合区委意识形态专项检查，</w:t>
            </w:r>
            <w:r>
              <w:rPr>
                <w:rFonts w:hint="eastAsia" w:ascii="仿宋_GB2312" w:hAnsi="仿宋_GB2312" w:eastAsia="仿宋_GB2312" w:cs="仿宋_GB2312"/>
                <w:color w:val="000000"/>
                <w:sz w:val="24"/>
                <w:lang w:eastAsia="zh-CN"/>
              </w:rPr>
              <w:t>所</w:t>
            </w:r>
            <w:r>
              <w:rPr>
                <w:rFonts w:hint="eastAsia" w:ascii="仿宋_GB2312" w:hAnsi="仿宋_GB2312" w:eastAsia="仿宋_GB2312" w:cs="仿宋_GB2312"/>
                <w:color w:val="000000"/>
                <w:sz w:val="24"/>
                <w:lang w:val="zh-CN"/>
              </w:rPr>
              <w:t>反馈问题的一个问题均得到全面彻底整改，</w:t>
            </w:r>
            <w:r>
              <w:rPr>
                <w:rFonts w:hint="eastAsia" w:ascii="仿宋_GB2312" w:hAnsi="仿宋_GB2312" w:eastAsia="仿宋_GB2312" w:cs="仿宋_GB2312"/>
                <w:color w:val="000000"/>
                <w:sz w:val="24"/>
              </w:rPr>
              <w:t>推动工会领域</w:t>
            </w:r>
            <w:r>
              <w:rPr>
                <w:rFonts w:hint="eastAsia" w:ascii="仿宋_GB2312" w:hAnsi="仿宋_GB2312" w:eastAsia="仿宋_GB2312" w:cs="仿宋_GB2312"/>
                <w:color w:val="000000"/>
                <w:sz w:val="24"/>
                <w:lang w:val="zh-CN"/>
              </w:rPr>
              <w:t>意识形态工作</w:t>
            </w:r>
            <w:r>
              <w:rPr>
                <w:rFonts w:hint="eastAsia" w:ascii="仿宋_GB2312" w:hAnsi="仿宋_GB2312" w:eastAsia="仿宋_GB2312" w:cs="仿宋_GB2312"/>
                <w:color w:val="000000"/>
                <w:sz w:val="24"/>
              </w:rPr>
              <w:t>走深走实</w:t>
            </w:r>
            <w:r>
              <w:rPr>
                <w:rFonts w:hint="eastAsia" w:ascii="仿宋_GB2312" w:hAnsi="仿宋_GB2312" w:eastAsia="仿宋_GB2312" w:cs="仿宋_GB2312"/>
                <w:color w:val="000000"/>
                <w:sz w:val="24"/>
                <w:lang w:val="zh-CN"/>
              </w:rPr>
              <w:t>。</w:t>
            </w:r>
            <w:r>
              <w:rPr>
                <w:rFonts w:hint="eastAsia" w:ascii="仿宋_GB2312" w:hAnsi="仿宋_GB2312" w:eastAsia="仿宋_GB2312" w:cs="仿宋_GB2312"/>
                <w:color w:val="000000"/>
                <w:sz w:val="24"/>
              </w:rPr>
              <w:t>开展转作风</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强作为“三联四访”活动</w:t>
            </w:r>
            <w:bookmarkStart w:id="0" w:name="_GoBack"/>
            <w:bookmarkEnd w:id="0"/>
            <w:r>
              <w:rPr>
                <w:rFonts w:hint="eastAsia" w:ascii="仿宋_GB2312" w:hAnsi="仿宋_GB2312" w:eastAsia="仿宋_GB2312" w:cs="仿宋_GB2312"/>
                <w:color w:val="000000"/>
                <w:sz w:val="24"/>
              </w:rPr>
              <w:t>，突出抓牢做实“五个坚决”，在自建房排查整治、“520”气体逸散善后、国庆和党的二十大安保等敏感工作中靠前行动，在禁毒、反诈、安全环保整治等专项工作中主动跟进，确保了劳动领域政治安全和工会系统和谐稳定。</w:t>
            </w:r>
          </w:p>
          <w:p w14:paraId="422C10F0">
            <w:pPr>
              <w:autoSpaceDN w:val="0"/>
              <w:spacing w:line="320" w:lineRule="exact"/>
              <w:ind w:firstLine="723" w:firstLineChars="3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二</w:t>
            </w:r>
            <w:r>
              <w:rPr>
                <w:rFonts w:hint="eastAsia" w:ascii="仿宋_GB2312" w:hAnsi="仿宋_GB2312" w:eastAsia="仿宋_GB2312" w:cs="仿宋_GB2312"/>
                <w:b/>
                <w:bCs/>
                <w:color w:val="000000"/>
                <w:sz w:val="24"/>
              </w:rPr>
              <w:t>.聚力建会入会，组织体系不断健全。</w:t>
            </w:r>
            <w:r>
              <w:rPr>
                <w:rFonts w:hint="eastAsia" w:ascii="仿宋_GB2312" w:hAnsi="仿宋_GB2312" w:eastAsia="仿宋_GB2312" w:cs="仿宋_GB2312"/>
                <w:color w:val="000000"/>
                <w:sz w:val="24"/>
              </w:rPr>
              <w:t>加大建会入会组织引导、业务指导力度，确保成熟一家、建会一家，建会一家、规范一家，</w:t>
            </w:r>
            <w:r>
              <w:rPr>
                <w:rFonts w:hint="eastAsia" w:ascii="仿宋_GB2312" w:hAnsi="仿宋_GB2312" w:eastAsia="仿宋_GB2312" w:cs="仿宋_GB2312"/>
                <w:color w:val="000000"/>
                <w:sz w:val="24"/>
                <w:lang w:eastAsia="zh-CN"/>
              </w:rPr>
              <w:t>今年重点</w:t>
            </w:r>
            <w:r>
              <w:rPr>
                <w:rFonts w:hint="eastAsia" w:ascii="仿宋_GB2312" w:hAnsi="仿宋_GB2312" w:eastAsia="仿宋_GB2312" w:cs="仿宋_GB2312"/>
                <w:color w:val="000000"/>
                <w:sz w:val="24"/>
                <w:lang w:val="en-US" w:eastAsia="zh-CN"/>
              </w:rPr>
              <w:t>指导通达、中创等7家单位工会阵地建设，</w:t>
            </w:r>
            <w:r>
              <w:rPr>
                <w:rFonts w:hint="eastAsia" w:ascii="仿宋_GB2312" w:hAnsi="仿宋_GB2312" w:eastAsia="仿宋_GB2312" w:cs="仿宋_GB2312"/>
                <w:color w:val="000000"/>
                <w:sz w:val="24"/>
                <w:lang w:eastAsia="zh-CN"/>
              </w:rPr>
              <w:t>培育市级规范化“</w:t>
            </w:r>
            <w:r>
              <w:rPr>
                <w:rFonts w:hint="eastAsia" w:ascii="仿宋_GB2312" w:hAnsi="仿宋_GB2312" w:eastAsia="仿宋_GB2312" w:cs="仿宋_GB2312"/>
                <w:color w:val="000000"/>
                <w:sz w:val="24"/>
              </w:rPr>
              <w:t>职工之家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3</w:t>
            </w:r>
            <w:r>
              <w:rPr>
                <w:rFonts w:hint="eastAsia" w:ascii="仿宋_GB2312" w:hAnsi="仿宋_GB2312" w:eastAsia="仿宋_GB2312" w:cs="仿宋_GB2312"/>
                <w:color w:val="000000"/>
                <w:sz w:val="24"/>
              </w:rPr>
              <w:t>个。向基层覆盖，加强“小三级”工会规范化建设，</w:t>
            </w:r>
            <w:r>
              <w:rPr>
                <w:rFonts w:hint="eastAsia" w:ascii="仿宋_GB2312" w:hAnsi="仿宋_GB2312" w:eastAsia="仿宋_GB2312" w:cs="仿宋_GB2312"/>
                <w:color w:val="000000"/>
                <w:sz w:val="24"/>
                <w:lang w:eastAsia="zh-CN"/>
              </w:rPr>
              <w:t>逐步提升村（社区）工会组建水平，重点支持</w:t>
            </w:r>
            <w:r>
              <w:rPr>
                <w:rFonts w:hint="eastAsia" w:ascii="仿宋_GB2312" w:hAnsi="仿宋_GB2312" w:eastAsia="仿宋_GB2312" w:cs="仿宋_GB2312"/>
                <w:color w:val="000000"/>
                <w:sz w:val="24"/>
              </w:rPr>
              <w:t>路口镇工会创建全省“百佳</w:t>
            </w:r>
            <w:r>
              <w:rPr>
                <w:rFonts w:hint="eastAsia" w:ascii="仿宋_GB2312" w:hAnsi="仿宋_GB2312" w:eastAsia="仿宋_GB2312" w:cs="仿宋_GB2312"/>
                <w:color w:val="000000"/>
                <w:sz w:val="24"/>
                <w:lang w:eastAsia="zh-CN"/>
              </w:rPr>
              <w:t>乡镇</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，支持指导陆城镇启动“小三级”工会建设，推进云溪街道胜利沟社区工会、长岭街道洞庭社区工会阵地建设</w:t>
            </w:r>
            <w:r>
              <w:rPr>
                <w:rFonts w:hint="eastAsia" w:ascii="仿宋_GB2312" w:hAnsi="仿宋_GB2312" w:eastAsia="仿宋_GB2312" w:cs="仿宋_GB2312"/>
                <w:color w:val="000000"/>
                <w:sz w:val="24"/>
              </w:rPr>
              <w:t>。往产业链延伸，</w:t>
            </w:r>
            <w:r>
              <w:rPr>
                <w:rFonts w:hint="eastAsia" w:ascii="仿宋_GB2312" w:hAnsi="仿宋_GB2312" w:eastAsia="仿宋_GB2312" w:cs="仿宋_GB2312"/>
                <w:color w:val="000000"/>
                <w:sz w:val="24"/>
                <w:lang w:eastAsia="zh-CN"/>
              </w:rPr>
              <w:t>指导</w:t>
            </w:r>
            <w:r>
              <w:rPr>
                <w:rFonts w:hint="eastAsia" w:ascii="仿宋_GB2312" w:hAnsi="仿宋_GB2312" w:eastAsia="仿宋_GB2312" w:cs="仿宋_GB2312"/>
                <w:color w:val="000000"/>
                <w:sz w:val="24"/>
              </w:rPr>
              <w:t>高新区石化产业链集聚企业工会</w:t>
            </w:r>
            <w:r>
              <w:rPr>
                <w:rFonts w:hint="eastAsia" w:ascii="仿宋_GB2312" w:hAnsi="仿宋_GB2312" w:eastAsia="仿宋_GB2312" w:cs="仿宋_GB2312"/>
                <w:color w:val="000000"/>
                <w:sz w:val="24"/>
                <w:lang w:val="en-US" w:eastAsia="zh-CN"/>
              </w:rPr>
              <w:t>84</w:t>
            </w:r>
            <w:r>
              <w:rPr>
                <w:rFonts w:hint="eastAsia" w:ascii="仿宋_GB2312" w:hAnsi="仿宋_GB2312" w:eastAsia="仿宋_GB2312" w:cs="仿宋_GB2312"/>
                <w:color w:val="000000"/>
                <w:sz w:val="24"/>
              </w:rPr>
              <w:t>家，会员</w:t>
            </w:r>
            <w:r>
              <w:rPr>
                <w:rFonts w:hint="eastAsia" w:ascii="仿宋_GB2312" w:hAnsi="仿宋_GB2312" w:eastAsia="仿宋_GB2312" w:cs="仿宋_GB2312"/>
                <w:color w:val="000000"/>
                <w:sz w:val="24"/>
                <w:lang w:val="en-US" w:eastAsia="zh-CN"/>
              </w:rPr>
              <w:t>4610</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将</w:t>
            </w:r>
            <w:r>
              <w:rPr>
                <w:rFonts w:hint="eastAsia" w:ascii="仿宋_GB2312" w:hAnsi="仿宋_GB2312" w:eastAsia="仿宋_GB2312" w:cs="仿宋_GB2312"/>
                <w:color w:val="000000"/>
                <w:sz w:val="24"/>
              </w:rPr>
              <w:t>“两厂”改制企业工会组织25家、会员3671人</w:t>
            </w:r>
            <w:r>
              <w:rPr>
                <w:rFonts w:hint="eastAsia" w:ascii="仿宋_GB2312" w:hAnsi="仿宋_GB2312" w:eastAsia="仿宋_GB2312" w:cs="仿宋_GB2312"/>
                <w:color w:val="000000"/>
                <w:sz w:val="24"/>
                <w:lang w:eastAsia="zh-CN"/>
              </w:rPr>
              <w:t>纳入区域工会管理服务体系，形成一体化优势</w:t>
            </w:r>
            <w:r>
              <w:rPr>
                <w:rFonts w:hint="eastAsia" w:ascii="仿宋_GB2312" w:hAnsi="仿宋_GB2312" w:eastAsia="仿宋_GB2312" w:cs="仿宋_GB2312"/>
                <w:color w:val="000000"/>
                <w:sz w:val="24"/>
              </w:rPr>
              <w:t>。朝新业态拓展，着力引导货车司机、快递行业</w:t>
            </w:r>
            <w:r>
              <w:rPr>
                <w:rFonts w:hint="eastAsia" w:ascii="仿宋_GB2312" w:hAnsi="仿宋_GB2312" w:eastAsia="仿宋_GB2312" w:cs="仿宋_GB2312"/>
                <w:color w:val="000000"/>
                <w:sz w:val="24"/>
                <w:lang w:eastAsia="zh-CN"/>
              </w:rPr>
              <w:t>、专业合作社</w:t>
            </w:r>
            <w:r>
              <w:rPr>
                <w:rFonts w:hint="eastAsia" w:ascii="仿宋_GB2312" w:hAnsi="仿宋_GB2312" w:eastAsia="仿宋_GB2312" w:cs="仿宋_GB2312"/>
                <w:color w:val="000000"/>
                <w:sz w:val="24"/>
              </w:rPr>
              <w:t>等新就业劳动者“八大”群体建会入会，发展物流企业工会7家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会员382人，快递行业联合建会1个</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会员</w:t>
            </w:r>
            <w:r>
              <w:rPr>
                <w:rFonts w:hint="eastAsia" w:ascii="仿宋_GB2312" w:hAnsi="仿宋_GB2312" w:eastAsia="仿宋_GB2312" w:cs="仿宋_GB2312"/>
                <w:color w:val="000000"/>
                <w:sz w:val="24"/>
                <w:lang w:val="en-US" w:eastAsia="zh-CN"/>
              </w:rPr>
              <w:t>84</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，物业及建筑行业4家，会员414人</w:t>
            </w:r>
            <w:r>
              <w:rPr>
                <w:rFonts w:hint="eastAsia" w:ascii="仿宋_GB2312" w:hAnsi="仿宋_GB2312" w:eastAsia="仿宋_GB2312" w:cs="仿宋_GB2312"/>
                <w:color w:val="000000"/>
                <w:sz w:val="24"/>
              </w:rPr>
              <w:t>。</w:t>
            </w:r>
          </w:p>
          <w:p w14:paraId="00D000AD">
            <w:pPr>
              <w:autoSpaceDN w:val="0"/>
              <w:spacing w:line="320" w:lineRule="exact"/>
              <w:ind w:firstLine="723" w:firstLineChars="30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b/>
                <w:bCs/>
                <w:color w:val="000000"/>
                <w:sz w:val="24"/>
                <w:lang w:eastAsia="zh-CN"/>
              </w:rPr>
              <w:t>三</w:t>
            </w:r>
            <w:r>
              <w:rPr>
                <w:rFonts w:hint="eastAsia" w:ascii="仿宋_GB2312" w:hAnsi="仿宋_GB2312" w:eastAsia="仿宋_GB2312" w:cs="仿宋_GB2312"/>
                <w:b/>
                <w:bCs/>
                <w:color w:val="000000"/>
                <w:sz w:val="24"/>
              </w:rPr>
              <w:t>.激发职工斗志，产改工作纵深推进</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深化产业工人队伍建设改革，</w:t>
            </w:r>
            <w:r>
              <w:rPr>
                <w:rFonts w:hint="eastAsia" w:ascii="仿宋_GB2312" w:hAnsi="仿宋_GB2312" w:eastAsia="仿宋_GB2312" w:cs="仿宋_GB2312"/>
                <w:color w:val="000000"/>
                <w:sz w:val="24"/>
              </w:rPr>
              <w:t>争取区委重视，将产改纳入区委全面深化改革工作总盘子</w:t>
            </w:r>
            <w:r>
              <w:rPr>
                <w:rFonts w:hint="eastAsia" w:ascii="仿宋_GB2312" w:hAnsi="仿宋_GB2312" w:eastAsia="仿宋_GB2312" w:cs="仿宋_GB2312"/>
                <w:color w:val="000000"/>
                <w:sz w:val="24"/>
                <w:lang w:eastAsia="zh-CN"/>
              </w:rPr>
              <w:t>和</w:t>
            </w:r>
            <w:r>
              <w:rPr>
                <w:rFonts w:hint="eastAsia" w:ascii="仿宋_GB2312" w:hAnsi="仿宋_GB2312" w:eastAsia="仿宋_GB2312" w:cs="仿宋_GB2312"/>
                <w:color w:val="000000"/>
                <w:sz w:val="24"/>
              </w:rPr>
              <w:t>2022年全区工会工作要点，调整充实产改协调小组成员，研究出台云溪</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产改十条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，牵头建立了组织协调、督促指导和讲评考核机制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真正做到“一盘棋”谋划</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一股劲推进。多途径组织培养培训，通过产学研、师带徒等方式，</w:t>
            </w:r>
            <w:r>
              <w:rPr>
                <w:rFonts w:hint="eastAsia" w:ascii="仿宋_GB2312" w:hAnsi="仿宋_GB2312" w:eastAsia="仿宋_GB2312" w:cs="仿宋_GB2312"/>
                <w:color w:val="000000"/>
                <w:sz w:val="24"/>
                <w:lang w:eastAsia="zh-CN"/>
              </w:rPr>
              <w:t>大力</w:t>
            </w:r>
            <w:r>
              <w:rPr>
                <w:rFonts w:hint="eastAsia" w:ascii="仿宋_GB2312" w:hAnsi="仿宋_GB2312" w:eastAsia="仿宋_GB2312" w:cs="仿宋_GB2312"/>
                <w:color w:val="000000"/>
                <w:sz w:val="24"/>
              </w:rPr>
              <w:t>引进培养各类产业工人，</w:t>
            </w:r>
            <w:r>
              <w:rPr>
                <w:rFonts w:hint="eastAsia" w:ascii="仿宋_GB2312" w:hAnsi="仿宋_GB2312" w:eastAsia="仿宋_GB2312" w:cs="仿宋_GB2312"/>
                <w:color w:val="000000"/>
                <w:sz w:val="24"/>
                <w:lang w:eastAsia="zh-CN"/>
              </w:rPr>
              <w:t>今</w:t>
            </w:r>
            <w:r>
              <w:rPr>
                <w:rFonts w:hint="eastAsia" w:ascii="仿宋_GB2312" w:hAnsi="仿宋_GB2312" w:eastAsia="仿宋_GB2312" w:cs="仿宋_GB2312"/>
                <w:color w:val="000000"/>
                <w:sz w:val="24"/>
              </w:rPr>
              <w:t>年通过技能培训班、</w:t>
            </w:r>
            <w:r>
              <w:rPr>
                <w:rFonts w:hint="eastAsia" w:ascii="仿宋_GB2312" w:hAnsi="仿宋_GB2312" w:eastAsia="仿宋_GB2312" w:cs="仿宋_GB2312"/>
                <w:color w:val="000000"/>
                <w:sz w:val="24"/>
                <w:lang w:eastAsia="zh-CN"/>
              </w:rPr>
              <w:t>女职工素质提升大讲堂</w:t>
            </w:r>
            <w:r>
              <w:rPr>
                <w:rFonts w:hint="eastAsia" w:ascii="仿宋_GB2312" w:hAnsi="仿宋_GB2312" w:eastAsia="仿宋_GB2312" w:cs="仿宋_GB2312"/>
                <w:color w:val="000000"/>
                <w:sz w:val="24"/>
              </w:rPr>
              <w:t>、“一户一产业工人”工程等形式，培训各类劳动者2000余人次。常态化开展竞技竞赛，突出跟着产业走、围绕项目赛，举办“三个十”</w:t>
            </w:r>
            <w:r>
              <w:rPr>
                <w:rFonts w:hint="eastAsia" w:ascii="仿宋_GB2312" w:hAnsi="仿宋_GB2312" w:eastAsia="仿宋_GB2312" w:cs="仿宋_GB2312"/>
                <w:color w:val="000000"/>
                <w:sz w:val="24"/>
                <w:lang w:eastAsia="zh-CN"/>
              </w:rPr>
              <w:t>“芙蓉杯”</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安康杯</w:t>
            </w:r>
            <w:r>
              <w:rPr>
                <w:rFonts w:hint="eastAsia" w:ascii="仿宋_GB2312" w:hAnsi="仿宋_GB2312" w:eastAsia="仿宋_GB2312" w:cs="仿宋_GB2312"/>
                <w:color w:val="000000"/>
                <w:sz w:val="24"/>
              </w:rPr>
              <w:t>”等劳动竞赛</w:t>
            </w:r>
            <w:r>
              <w:rPr>
                <w:rFonts w:hint="eastAsia" w:ascii="仿宋_GB2312" w:hAnsi="仿宋_GB2312" w:eastAsia="仿宋_GB2312" w:cs="仿宋_GB2312"/>
                <w:color w:val="000000"/>
                <w:sz w:val="24"/>
                <w:lang w:eastAsia="zh-CN"/>
              </w:rPr>
              <w:t>和技能大比武</w:t>
            </w:r>
            <w:r>
              <w:rPr>
                <w:rFonts w:hint="eastAsia" w:ascii="仿宋_GB2312" w:hAnsi="仿宋_GB2312" w:eastAsia="仿宋_GB2312" w:cs="仿宋_GB2312"/>
                <w:color w:val="000000"/>
                <w:sz w:val="24"/>
              </w:rPr>
              <w:t>活动，在全</w:t>
            </w:r>
            <w:r>
              <w:rPr>
                <w:rFonts w:hint="eastAsia" w:ascii="仿宋_GB2312" w:hAnsi="仿宋_GB2312" w:eastAsia="仿宋_GB2312" w:cs="仿宋_GB2312"/>
                <w:color w:val="000000"/>
                <w:sz w:val="24"/>
                <w:lang w:val="en-US" w:eastAsia="zh-CN"/>
              </w:rPr>
              <w:t>区</w:t>
            </w:r>
            <w:r>
              <w:rPr>
                <w:rFonts w:hint="eastAsia" w:ascii="仿宋_GB2312" w:hAnsi="仿宋_GB2312" w:eastAsia="仿宋_GB2312" w:cs="仿宋_GB2312"/>
                <w:color w:val="000000"/>
                <w:sz w:val="24"/>
              </w:rPr>
              <w:t>营造“比、学、赶、帮、超”的竞赛氛围</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今年7月5日举办的新就业形态劳动者集中入会暨深化劳动竞赛启动仪式，现场入会宣誓、发放会员证</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交流劳动竞赛成果</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发出竞赛倡议</w:t>
            </w:r>
            <w:r>
              <w:rPr>
                <w:rFonts w:hint="eastAsia" w:ascii="仿宋_GB2312" w:hAnsi="仿宋_GB2312" w:eastAsia="仿宋_GB2312" w:cs="仿宋_GB2312"/>
                <w:color w:val="000000"/>
                <w:sz w:val="24"/>
                <w:lang w:eastAsia="zh-CN"/>
              </w:rPr>
              <w:t>，吸纳新入会会员</w:t>
            </w:r>
            <w:r>
              <w:rPr>
                <w:rFonts w:hint="eastAsia" w:ascii="仿宋_GB2312" w:hAnsi="仿宋_GB2312" w:eastAsia="仿宋_GB2312" w:cs="仿宋_GB2312"/>
                <w:color w:val="000000"/>
                <w:sz w:val="24"/>
                <w:lang w:val="en-US" w:eastAsia="zh-CN"/>
              </w:rPr>
              <w:t>70余人，</w:t>
            </w:r>
            <w:r>
              <w:rPr>
                <w:rFonts w:hint="eastAsia" w:ascii="仿宋_GB2312" w:hAnsi="仿宋_GB2312" w:eastAsia="仿宋_GB2312" w:cs="仿宋_GB2312"/>
                <w:color w:val="000000"/>
                <w:sz w:val="24"/>
                <w:lang w:eastAsia="zh-CN"/>
              </w:rPr>
              <w:t>有力推动了</w:t>
            </w:r>
            <w:r>
              <w:rPr>
                <w:rFonts w:hint="eastAsia" w:ascii="仿宋_GB2312" w:hAnsi="仿宋_GB2312" w:eastAsia="仿宋_GB2312" w:cs="仿宋_GB2312"/>
                <w:color w:val="000000"/>
                <w:sz w:val="24"/>
              </w:rPr>
              <w:t>项目建设加速、企业发展提档、服务素质提升。不定期组织开展各类文体活动，今年11月初，举办第四届全区职工乒乓球大赛，邀请大厂、新港区参加，以赛交流互鉴、交友联谊，极大地丰富了职工文化生活。全方位激励创新创业</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大力弘扬劳模精神、劳动精神、工匠精神，通过建立劳模工匠管理服务和产业工人关爱机制，</w:t>
            </w:r>
            <w:r>
              <w:rPr>
                <w:rFonts w:hint="eastAsia" w:ascii="仿宋_GB2312" w:hAnsi="仿宋_GB2312" w:eastAsia="仿宋_GB2312" w:cs="仿宋_GB2312"/>
                <w:color w:val="000000"/>
                <w:sz w:val="24"/>
                <w:lang w:eastAsia="zh-CN"/>
              </w:rPr>
              <w:t>以</w:t>
            </w:r>
            <w:r>
              <w:rPr>
                <w:rFonts w:hint="eastAsia" w:ascii="仿宋_GB2312" w:hAnsi="仿宋_GB2312" w:eastAsia="仿宋_GB2312" w:cs="仿宋_GB2312"/>
                <w:color w:val="000000"/>
                <w:sz w:val="24"/>
              </w:rPr>
              <w:t>走访座谈、</w:t>
            </w:r>
            <w:r>
              <w:rPr>
                <w:rFonts w:hint="eastAsia" w:ascii="仿宋_GB2312" w:hAnsi="仿宋_GB2312" w:eastAsia="仿宋_GB2312" w:cs="仿宋_GB2312"/>
                <w:color w:val="000000"/>
                <w:sz w:val="24"/>
                <w:lang w:eastAsia="zh-CN"/>
              </w:rPr>
              <w:t>轮流</w:t>
            </w:r>
            <w:r>
              <w:rPr>
                <w:rFonts w:hint="eastAsia" w:ascii="仿宋_GB2312" w:hAnsi="仿宋_GB2312" w:eastAsia="仿宋_GB2312" w:cs="仿宋_GB2312"/>
                <w:color w:val="000000"/>
                <w:sz w:val="24"/>
              </w:rPr>
              <w:t>疗休养、典型事迹宣传等形式，营造</w:t>
            </w:r>
            <w:r>
              <w:rPr>
                <w:rFonts w:hint="eastAsia" w:ascii="仿宋_GB2312" w:hAnsi="仿宋_GB2312" w:eastAsia="仿宋_GB2312" w:cs="仿宋_GB2312"/>
                <w:color w:val="000000"/>
                <w:sz w:val="24"/>
                <w:lang w:eastAsia="zh-CN"/>
              </w:rPr>
              <w:t>出</w:t>
            </w:r>
            <w:r>
              <w:rPr>
                <w:rFonts w:hint="eastAsia" w:ascii="仿宋_GB2312" w:hAnsi="仿宋_GB2312" w:eastAsia="仿宋_GB2312" w:cs="仿宋_GB2312"/>
                <w:color w:val="000000"/>
                <w:sz w:val="24"/>
              </w:rPr>
              <w:t>“工人伟大、劳动光荣”的良好氛围。</w:t>
            </w:r>
            <w:r>
              <w:rPr>
                <w:rFonts w:hint="eastAsia" w:ascii="仿宋_GB2312" w:hAnsi="仿宋_GB2312" w:eastAsia="仿宋_GB2312" w:cs="仿宋_GB2312"/>
                <w:color w:val="000000"/>
                <w:sz w:val="24"/>
                <w:lang w:eastAsia="zh-CN"/>
              </w:rPr>
              <w:t>用好用活劳动竞赛成效评价的指挥棒。</w:t>
            </w:r>
            <w:r>
              <w:rPr>
                <w:rFonts w:hint="eastAsia" w:ascii="仿宋_GB2312" w:hAnsi="仿宋_GB2312" w:eastAsia="仿宋_GB2312" w:cs="仿宋_GB2312"/>
                <w:color w:val="000000"/>
                <w:sz w:val="24"/>
              </w:rPr>
              <w:t>做好创新强区、创业富民文章。今年首届“湖湘劳模工匠创新成果展”，</w:t>
            </w:r>
            <w:r>
              <w:rPr>
                <w:rFonts w:hint="eastAsia" w:ascii="仿宋_GB2312" w:hAnsi="仿宋_GB2312" w:eastAsia="仿宋_GB2312" w:cs="仿宋_GB2312"/>
                <w:color w:val="000000"/>
                <w:sz w:val="24"/>
                <w:lang w:eastAsia="zh-CN"/>
              </w:rPr>
              <w:t>积极组织</w:t>
            </w:r>
            <w:r>
              <w:rPr>
                <w:rFonts w:hint="eastAsia" w:ascii="仿宋_GB2312" w:hAnsi="仿宋_GB2312" w:eastAsia="仿宋_GB2312" w:cs="仿宋_GB2312"/>
                <w:color w:val="000000"/>
                <w:sz w:val="24"/>
              </w:rPr>
              <w:t>高伟、张惠敏等一批劳模工匠、非遗传承人现场表演技艺“绝活”</w:t>
            </w:r>
            <w:r>
              <w:rPr>
                <w:rFonts w:hint="eastAsia" w:ascii="仿宋_GB2312" w:hAnsi="仿宋_GB2312" w:eastAsia="仿宋_GB2312" w:cs="仿宋_GB2312"/>
                <w:color w:val="000000"/>
                <w:sz w:val="24"/>
                <w:lang w:eastAsia="zh-CN"/>
              </w:rPr>
              <w:t>；“巴陵工匠”评选，组织申报弘润化工杨代萍、凯美特气体陈圆圆、长炼新材料科技王祥</w:t>
            </w:r>
            <w:r>
              <w:rPr>
                <w:rFonts w:hint="eastAsia" w:ascii="仿宋_GB2312" w:hAnsi="仿宋_GB2312" w:eastAsia="仿宋_GB2312" w:cs="仿宋_GB2312"/>
                <w:color w:val="000000"/>
                <w:sz w:val="24"/>
                <w:lang w:val="en-US" w:eastAsia="zh-CN"/>
              </w:rPr>
              <w:t>等3名同志入围。鼓励企业组织职工外部对口学，内部结对赛，涌现出长炼通达、东方雨虹等一批先进集体（班组）和个人。落实带薪年休假，健康体检和疗休养制度，加大困难救助力度，疫情一放开，即组织一线技术</w:t>
            </w:r>
            <w:r>
              <w:rPr>
                <w:rFonts w:hint="eastAsia" w:ascii="仿宋_GB2312" w:hAnsi="仿宋_GB2312" w:eastAsia="仿宋_GB2312" w:cs="仿宋_GB2312"/>
                <w:color w:val="000000"/>
                <w:sz w:val="24"/>
              </w:rPr>
              <w:t>工人</w:t>
            </w:r>
            <w:r>
              <w:rPr>
                <w:rFonts w:hint="eastAsia" w:ascii="仿宋_GB2312" w:hAnsi="仿宋_GB2312" w:eastAsia="仿宋_GB2312" w:cs="仿宋_GB2312"/>
                <w:color w:val="000000"/>
                <w:sz w:val="24"/>
                <w:lang w:eastAsia="zh-CN"/>
              </w:rPr>
              <w:t>和</w:t>
            </w:r>
            <w:r>
              <w:rPr>
                <w:rFonts w:hint="eastAsia" w:ascii="仿宋_GB2312" w:hAnsi="仿宋_GB2312" w:eastAsia="仿宋_GB2312" w:cs="仿宋_GB2312"/>
                <w:color w:val="000000"/>
                <w:sz w:val="24"/>
              </w:rPr>
              <w:t>一线</w:t>
            </w:r>
            <w:r>
              <w:rPr>
                <w:rFonts w:hint="eastAsia" w:ascii="仿宋_GB2312" w:hAnsi="仿宋_GB2312" w:eastAsia="仿宋_GB2312" w:cs="仿宋_GB2312"/>
                <w:color w:val="000000"/>
                <w:sz w:val="24"/>
                <w:lang w:eastAsia="zh-CN"/>
              </w:rPr>
              <w:t>防疫人员赴张家界疗休养</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val="en-US" w:eastAsia="zh-CN"/>
              </w:rPr>
              <w:t>切实增强劳动获得感</w:t>
            </w:r>
          </w:p>
          <w:p w14:paraId="431C9847">
            <w:pPr>
              <w:autoSpaceDN w:val="0"/>
              <w:spacing w:line="320" w:lineRule="exact"/>
              <w:ind w:firstLine="723" w:firstLineChars="300"/>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b/>
                <w:bCs/>
                <w:color w:val="000000"/>
                <w:sz w:val="24"/>
                <w:lang w:eastAsia="zh-CN"/>
              </w:rPr>
              <w:t>四</w:t>
            </w:r>
            <w:r>
              <w:rPr>
                <w:rFonts w:hint="eastAsia" w:ascii="仿宋_GB2312" w:hAnsi="仿宋_GB2312" w:eastAsia="仿宋_GB2312" w:cs="仿宋_GB2312"/>
                <w:b/>
                <w:bCs/>
                <w:color w:val="000000"/>
                <w:sz w:val="24"/>
              </w:rPr>
              <w:t>.紧扣服务需求，维权帮扶</w:t>
            </w:r>
            <w:r>
              <w:rPr>
                <w:rFonts w:hint="eastAsia" w:ascii="仿宋_GB2312" w:hAnsi="仿宋_GB2312" w:eastAsia="仿宋_GB2312" w:cs="仿宋_GB2312"/>
                <w:b/>
                <w:bCs/>
                <w:color w:val="000000"/>
                <w:sz w:val="24"/>
                <w:lang w:eastAsia="zh-CN"/>
              </w:rPr>
              <w:t>提质扩面</w:t>
            </w:r>
            <w:r>
              <w:rPr>
                <w:rFonts w:hint="eastAsia" w:ascii="仿宋_GB2312" w:hAnsi="仿宋_GB2312" w:eastAsia="仿宋_GB2312" w:cs="仿宋_GB2312"/>
                <w:b/>
                <w:bCs/>
                <w:color w:val="000000"/>
                <w:sz w:val="24"/>
              </w:rPr>
              <w:t>。</w:t>
            </w:r>
            <w:r>
              <w:rPr>
                <w:rFonts w:hint="eastAsia" w:ascii="仿宋_GB2312" w:hAnsi="仿宋_GB2312" w:eastAsia="仿宋_GB2312" w:cs="仿宋_GB2312"/>
                <w:color w:val="000000"/>
                <w:sz w:val="24"/>
              </w:rPr>
              <w:t>紧扣职工生产生活需求，尽最大可能维护职工合法权益，解决职工“急难愁盼”问题。扩大“四送”服务覆盖面。投入资金</w:t>
            </w:r>
            <w:r>
              <w:rPr>
                <w:rFonts w:hint="eastAsia" w:ascii="仿宋_GB2312" w:hAnsi="仿宋_GB2312" w:eastAsia="仿宋_GB2312" w:cs="仿宋_GB2312"/>
                <w:color w:val="000000"/>
                <w:sz w:val="24"/>
                <w:lang w:val="en-US" w:eastAsia="zh-CN"/>
              </w:rPr>
              <w:t>50</w:t>
            </w:r>
            <w:r>
              <w:rPr>
                <w:rFonts w:hint="eastAsia" w:ascii="仿宋_GB2312" w:hAnsi="仿宋_GB2312" w:eastAsia="仿宋_GB2312" w:cs="仿宋_GB2312"/>
                <w:color w:val="000000"/>
                <w:sz w:val="24"/>
              </w:rPr>
              <w:t>万</w:t>
            </w:r>
            <w:r>
              <w:rPr>
                <w:rFonts w:hint="eastAsia" w:ascii="仿宋_GB2312" w:hAnsi="仿宋_GB2312" w:eastAsia="仿宋_GB2312" w:cs="仿宋_GB2312"/>
                <w:color w:val="000000"/>
                <w:sz w:val="24"/>
                <w:lang w:eastAsia="zh-CN"/>
              </w:rPr>
              <w:t>多</w:t>
            </w:r>
            <w:r>
              <w:rPr>
                <w:rFonts w:hint="eastAsia" w:ascii="仿宋_GB2312" w:hAnsi="仿宋_GB2312" w:eastAsia="仿宋_GB2312" w:cs="仿宋_GB2312"/>
                <w:color w:val="000000"/>
                <w:sz w:val="24"/>
              </w:rPr>
              <w:t>元，</w:t>
            </w:r>
            <w:r>
              <w:rPr>
                <w:rFonts w:hint="eastAsia" w:ascii="仿宋_GB2312" w:hAnsi="仿宋_GB2312" w:eastAsia="仿宋_GB2312" w:cs="仿宋_GB2312"/>
                <w:color w:val="000000"/>
                <w:sz w:val="24"/>
                <w:lang w:eastAsia="zh-CN"/>
              </w:rPr>
              <w:t>“冬送温暖”</w:t>
            </w:r>
            <w:r>
              <w:rPr>
                <w:rFonts w:hint="eastAsia" w:ascii="仿宋_GB2312" w:hAnsi="仿宋_GB2312" w:eastAsia="仿宋_GB2312" w:cs="仿宋_GB2312"/>
                <w:color w:val="000000"/>
                <w:sz w:val="24"/>
              </w:rPr>
              <w:t>帮扶困难职工</w:t>
            </w:r>
            <w:r>
              <w:rPr>
                <w:rFonts w:hint="eastAsia" w:ascii="仿宋_GB2312" w:hAnsi="仿宋_GB2312" w:eastAsia="仿宋_GB2312" w:cs="仿宋_GB2312"/>
                <w:color w:val="000000"/>
                <w:sz w:val="24"/>
                <w:lang w:val="en-US" w:eastAsia="zh-CN"/>
              </w:rPr>
              <w:t>168</w:t>
            </w:r>
            <w:r>
              <w:rPr>
                <w:rFonts w:hint="eastAsia" w:ascii="仿宋_GB2312" w:hAnsi="仿宋_GB2312" w:eastAsia="仿宋_GB2312" w:cs="仿宋_GB2312"/>
                <w:color w:val="000000"/>
                <w:sz w:val="24"/>
              </w:rPr>
              <w:t>人次。</w:t>
            </w:r>
            <w:r>
              <w:rPr>
                <w:rFonts w:hint="eastAsia" w:ascii="仿宋_GB2312" w:hAnsi="仿宋_GB2312" w:eastAsia="仿宋_GB2312" w:cs="仿宋_GB2312"/>
                <w:color w:val="000000"/>
                <w:sz w:val="24"/>
                <w:lang w:eastAsia="zh-CN"/>
              </w:rPr>
              <w:t>“春送岗位”帮助</w:t>
            </w:r>
            <w:r>
              <w:rPr>
                <w:rFonts w:hint="eastAsia" w:ascii="仿宋_GB2312" w:hAnsi="仿宋_GB2312" w:eastAsia="仿宋_GB2312" w:cs="仿宋_GB2312"/>
                <w:color w:val="000000"/>
                <w:sz w:val="24"/>
              </w:rPr>
              <w:t>困难职工就业</w:t>
            </w:r>
            <w:r>
              <w:rPr>
                <w:rFonts w:hint="eastAsia" w:ascii="仿宋_GB2312" w:hAnsi="仿宋_GB2312" w:eastAsia="仿宋_GB2312" w:cs="仿宋_GB2312"/>
                <w:color w:val="000000"/>
                <w:sz w:val="24"/>
                <w:lang w:val="en-US" w:eastAsia="zh-CN"/>
              </w:rPr>
              <w:t>200余</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“夏送清凉”覆盖全区四大行业</w:t>
            </w:r>
            <w:r>
              <w:rPr>
                <w:rFonts w:hint="eastAsia" w:ascii="仿宋_GB2312" w:hAnsi="仿宋_GB2312" w:eastAsia="仿宋_GB2312" w:cs="仿宋_GB2312"/>
                <w:color w:val="000000"/>
                <w:sz w:val="24"/>
                <w:lang w:val="en-US" w:eastAsia="zh-CN"/>
              </w:rPr>
              <w:t>1000多名职工，</w:t>
            </w:r>
            <w:r>
              <w:rPr>
                <w:rFonts w:hint="eastAsia" w:ascii="仿宋_GB2312" w:hAnsi="仿宋_GB2312" w:eastAsia="仿宋_GB2312" w:cs="仿宋_GB2312"/>
                <w:color w:val="000000"/>
                <w:sz w:val="24"/>
                <w:lang w:eastAsia="zh-CN"/>
              </w:rPr>
              <w:t>“金秋助学”</w:t>
            </w:r>
            <w:r>
              <w:rPr>
                <w:rFonts w:hint="eastAsia" w:ascii="仿宋_GB2312" w:hAnsi="仿宋_GB2312" w:eastAsia="仿宋_GB2312" w:cs="仿宋_GB2312"/>
                <w:color w:val="000000"/>
                <w:sz w:val="24"/>
              </w:rPr>
              <w:t>资助困难学子</w:t>
            </w:r>
            <w:r>
              <w:rPr>
                <w:rFonts w:hint="eastAsia" w:ascii="仿宋_GB2312" w:hAnsi="仿宋_GB2312" w:eastAsia="仿宋_GB2312" w:cs="仿宋_GB2312"/>
                <w:color w:val="000000"/>
                <w:sz w:val="24"/>
                <w:lang w:val="en-US" w:eastAsia="zh-CN"/>
              </w:rPr>
              <w:t>44</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特别是</w:t>
            </w:r>
            <w:r>
              <w:rPr>
                <w:rFonts w:hint="eastAsia" w:ascii="仿宋_GB2312" w:hAnsi="仿宋_GB2312" w:eastAsia="仿宋_GB2312" w:cs="仿宋_GB2312"/>
                <w:color w:val="000000"/>
                <w:sz w:val="24"/>
              </w:rPr>
              <w:t>针对今年疫情影响下的新形势，</w:t>
            </w:r>
            <w:r>
              <w:rPr>
                <w:rFonts w:hint="eastAsia" w:ascii="仿宋_GB2312" w:hAnsi="仿宋_GB2312" w:eastAsia="仿宋_GB2312" w:cs="仿宋_GB2312"/>
                <w:color w:val="000000"/>
                <w:sz w:val="24"/>
                <w:lang w:eastAsia="zh-CN"/>
              </w:rPr>
              <w:t>投入</w:t>
            </w:r>
            <w:r>
              <w:rPr>
                <w:rFonts w:hint="eastAsia" w:ascii="仿宋_GB2312" w:hAnsi="仿宋_GB2312" w:eastAsia="仿宋_GB2312" w:cs="仿宋_GB2312"/>
                <w:color w:val="000000"/>
                <w:sz w:val="24"/>
                <w:lang w:val="en-US" w:eastAsia="zh-CN"/>
              </w:rPr>
              <w:t>9.91万元</w:t>
            </w:r>
            <w:r>
              <w:rPr>
                <w:rFonts w:hint="eastAsia" w:ascii="仿宋_GB2312" w:hAnsi="仿宋_GB2312" w:eastAsia="仿宋_GB2312" w:cs="仿宋_GB2312"/>
                <w:color w:val="000000"/>
                <w:sz w:val="24"/>
                <w:lang w:eastAsia="zh-CN"/>
              </w:rPr>
              <w:t>采购物资开展“抗疫有我</w:t>
            </w:r>
            <w:r>
              <w:rPr>
                <w:rFonts w:hint="eastAsia" w:ascii="仿宋_GB2312" w:hAnsi="仿宋_GB2312" w:eastAsia="仿宋_GB2312" w:cs="仿宋_GB2312"/>
                <w:color w:val="000000"/>
                <w:sz w:val="24"/>
                <w:lang w:val="en-US" w:eastAsia="zh-CN"/>
              </w:rPr>
              <w:t>、暖心盒饭</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活动</w:t>
            </w:r>
            <w:r>
              <w:rPr>
                <w:rFonts w:hint="eastAsia" w:ascii="仿宋_GB2312" w:hAnsi="仿宋_GB2312" w:eastAsia="仿宋_GB2312" w:cs="仿宋_GB2312"/>
                <w:color w:val="000000"/>
                <w:sz w:val="24"/>
                <w:lang w:eastAsia="zh-CN"/>
              </w:rPr>
              <w:t>，慰问全</w:t>
            </w:r>
            <w:r>
              <w:rPr>
                <w:rFonts w:hint="eastAsia" w:ascii="仿宋_GB2312" w:hAnsi="仿宋_GB2312" w:eastAsia="仿宋_GB2312" w:cs="仿宋_GB2312"/>
                <w:color w:val="000000"/>
                <w:sz w:val="24"/>
                <w:lang w:val="en-US" w:eastAsia="zh-CN"/>
              </w:rPr>
              <w:t>区4个疫情防控点的</w:t>
            </w:r>
            <w:r>
              <w:rPr>
                <w:rFonts w:hint="eastAsia" w:ascii="仿宋_GB2312" w:hAnsi="仿宋_GB2312" w:eastAsia="仿宋_GB2312" w:cs="仿宋_GB2312"/>
                <w:color w:val="000000"/>
                <w:sz w:val="24"/>
                <w:lang w:eastAsia="zh-CN"/>
              </w:rPr>
              <w:t>一线防疫人员</w:t>
            </w:r>
            <w:r>
              <w:rPr>
                <w:rFonts w:hint="eastAsia" w:ascii="仿宋_GB2312" w:hAnsi="仿宋_GB2312" w:eastAsia="仿宋_GB2312" w:cs="仿宋_GB2312"/>
                <w:color w:val="000000"/>
                <w:sz w:val="24"/>
              </w:rPr>
              <w:t>3次</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提升“双联”服务影响力。创造性推出“分系统筹资、按比例返还、点对点帮扶”模式，将筹集的资金70%用于帮扶供销、商粮、科工、农业、住建等“五大系统”困难企业和职工，30%用于帮扶全区大面上的困难职工，调动了</w:t>
            </w:r>
            <w:r>
              <w:rPr>
                <w:rFonts w:hint="eastAsia" w:ascii="仿宋_GB2312" w:hAnsi="仿宋_GB2312" w:eastAsia="仿宋_GB2312" w:cs="仿宋_GB2312"/>
                <w:color w:val="000000"/>
                <w:sz w:val="24"/>
                <w:lang w:eastAsia="zh-CN"/>
              </w:rPr>
              <w:t>帮扶与被扶两个方面</w:t>
            </w:r>
            <w:r>
              <w:rPr>
                <w:rFonts w:hint="eastAsia" w:ascii="仿宋_GB2312" w:hAnsi="仿宋_GB2312" w:eastAsia="仿宋_GB2312" w:cs="仿宋_GB2312"/>
                <w:color w:val="000000"/>
                <w:sz w:val="24"/>
              </w:rPr>
              <w:t>的积极性。</w:t>
            </w:r>
            <w:r>
              <w:rPr>
                <w:rFonts w:hint="eastAsia" w:ascii="仿宋_GB2312" w:hAnsi="仿宋_GB2312" w:eastAsia="仿宋_GB2312" w:cs="仿宋_GB2312"/>
                <w:color w:val="000000"/>
                <w:sz w:val="24"/>
                <w:lang w:eastAsia="zh-CN"/>
              </w:rPr>
              <w:t>预计今</w:t>
            </w:r>
            <w:r>
              <w:rPr>
                <w:rFonts w:hint="eastAsia" w:ascii="仿宋_GB2312" w:hAnsi="仿宋_GB2312" w:eastAsia="仿宋_GB2312" w:cs="仿宋_GB2312"/>
                <w:color w:val="000000"/>
                <w:sz w:val="24"/>
              </w:rPr>
              <w:t>年，全区“双联”筹资</w:t>
            </w:r>
            <w:r>
              <w:rPr>
                <w:rFonts w:hint="eastAsia" w:ascii="仿宋_GB2312" w:hAnsi="仿宋_GB2312" w:eastAsia="仿宋_GB2312" w:cs="仿宋_GB2312"/>
                <w:color w:val="000000"/>
                <w:sz w:val="24"/>
                <w:lang w:eastAsia="zh-CN"/>
              </w:rPr>
              <w:t>总数将达到</w:t>
            </w:r>
            <w:r>
              <w:rPr>
                <w:rFonts w:hint="eastAsia" w:ascii="仿宋_GB2312" w:hAnsi="仿宋_GB2312" w:eastAsia="仿宋_GB2312" w:cs="仿宋_GB2312"/>
                <w:color w:val="000000"/>
                <w:sz w:val="24"/>
                <w:lang w:val="en-US" w:eastAsia="zh-CN"/>
              </w:rPr>
              <w:t>130万元</w:t>
            </w:r>
            <w:r>
              <w:rPr>
                <w:rFonts w:hint="eastAsia" w:ascii="仿宋_GB2312" w:hAnsi="仿宋_GB2312" w:eastAsia="仿宋_GB2312" w:cs="仿宋_GB2312"/>
                <w:color w:val="000000"/>
                <w:sz w:val="24"/>
              </w:rPr>
              <w:t>。强化日常服务规范性。立足建得起、用得上、管得好，新建了</w:t>
            </w:r>
            <w:r>
              <w:rPr>
                <w:rFonts w:hint="eastAsia" w:ascii="仿宋_GB2312" w:hAnsi="仿宋_GB2312" w:eastAsia="仿宋_GB2312" w:cs="仿宋_GB2312"/>
                <w:color w:val="000000"/>
                <w:sz w:val="24"/>
                <w:lang w:eastAsia="zh-CN"/>
              </w:rPr>
              <w:t>洞庭社区和区一中两个户外劳动者爱心驿站，推动了</w:t>
            </w:r>
            <w:r>
              <w:rPr>
                <w:rFonts w:hint="eastAsia" w:ascii="仿宋_GB2312" w:hAnsi="仿宋_GB2312" w:eastAsia="仿宋_GB2312" w:cs="仿宋_GB2312"/>
                <w:color w:val="000000"/>
                <w:sz w:val="24"/>
              </w:rPr>
              <w:t>四通路户外劳动者“爱心驿站”</w:t>
            </w:r>
            <w:r>
              <w:rPr>
                <w:rFonts w:hint="eastAsia" w:ascii="仿宋_GB2312" w:hAnsi="仿宋_GB2312" w:eastAsia="仿宋_GB2312" w:cs="仿宋_GB2312"/>
                <w:color w:val="000000"/>
                <w:sz w:val="24"/>
                <w:lang w:eastAsia="zh-CN"/>
              </w:rPr>
              <w:t>跻身全市“三星级”，政务服务中心母婴关爱室改造升级并挂牌服务</w:t>
            </w:r>
            <w:r>
              <w:rPr>
                <w:rFonts w:hint="eastAsia" w:ascii="仿宋_GB2312" w:hAnsi="仿宋_GB2312" w:eastAsia="仿宋_GB2312" w:cs="仿宋_GB2312"/>
                <w:color w:val="000000"/>
                <w:sz w:val="24"/>
              </w:rPr>
              <w:t>。督导企业加强民主管理，落实职工代表大会、</w:t>
            </w:r>
            <w:r>
              <w:rPr>
                <w:rFonts w:hint="eastAsia" w:ascii="仿宋_GB2312" w:hAnsi="仿宋_GB2312" w:eastAsia="仿宋_GB2312" w:cs="仿宋_GB2312"/>
                <w:color w:val="000000"/>
                <w:sz w:val="24"/>
                <w:lang w:eastAsia="zh-CN"/>
              </w:rPr>
              <w:t>平等协商</w:t>
            </w:r>
            <w:r>
              <w:rPr>
                <w:rFonts w:hint="eastAsia" w:ascii="仿宋_GB2312" w:hAnsi="仿宋_GB2312" w:eastAsia="仿宋_GB2312" w:cs="仿宋_GB2312"/>
                <w:color w:val="000000"/>
                <w:sz w:val="24"/>
              </w:rPr>
              <w:t>签订集体合同、厂务公开等制度，</w:t>
            </w:r>
            <w:r>
              <w:rPr>
                <w:rFonts w:hint="eastAsia" w:ascii="仿宋_GB2312" w:hAnsi="仿宋_GB2312" w:eastAsia="仿宋_GB2312" w:cs="仿宋_GB2312"/>
                <w:color w:val="000000"/>
                <w:sz w:val="24"/>
                <w:lang w:eastAsia="zh-CN"/>
              </w:rPr>
              <w:t>今年来指导</w:t>
            </w:r>
            <w:r>
              <w:rPr>
                <w:rFonts w:hint="eastAsia" w:ascii="仿宋_GB2312" w:hAnsi="仿宋_GB2312" w:eastAsia="仿宋_GB2312" w:cs="仿宋_GB2312"/>
                <w:color w:val="000000"/>
                <w:sz w:val="24"/>
                <w:lang w:val="en-US" w:eastAsia="zh-CN"/>
              </w:rPr>
              <w:t>50</w:t>
            </w:r>
            <w:r>
              <w:rPr>
                <w:rFonts w:hint="eastAsia" w:ascii="仿宋_GB2312" w:hAnsi="仿宋_GB2312" w:eastAsia="仿宋_GB2312" w:cs="仿宋_GB2312"/>
                <w:color w:val="000000"/>
                <w:sz w:val="24"/>
              </w:rPr>
              <w:t>人以上企业签订集体合同</w:t>
            </w:r>
            <w:r>
              <w:rPr>
                <w:rFonts w:hint="eastAsia" w:ascii="仿宋_GB2312" w:hAnsi="仿宋_GB2312" w:eastAsia="仿宋_GB2312" w:cs="仿宋_GB2312"/>
                <w:color w:val="000000"/>
                <w:sz w:val="24"/>
                <w:lang w:val="en-US" w:eastAsia="zh-CN"/>
              </w:rPr>
              <w:t>19</w:t>
            </w:r>
            <w:r>
              <w:rPr>
                <w:rFonts w:hint="eastAsia" w:ascii="仿宋_GB2312" w:hAnsi="仿宋_GB2312" w:eastAsia="仿宋_GB2312" w:cs="仿宋_GB2312"/>
                <w:color w:val="000000"/>
                <w:sz w:val="24"/>
              </w:rPr>
              <w:t>家，区域性、行业性工资集体协商制度涵盖企业</w:t>
            </w:r>
            <w:r>
              <w:rPr>
                <w:rFonts w:hint="eastAsia" w:ascii="仿宋_GB2312" w:hAnsi="仿宋_GB2312" w:eastAsia="仿宋_GB2312" w:cs="仿宋_GB2312"/>
                <w:color w:val="000000"/>
                <w:sz w:val="24"/>
                <w:lang w:val="en-US" w:eastAsia="zh-CN"/>
              </w:rPr>
              <w:t>5</w:t>
            </w:r>
            <w:r>
              <w:rPr>
                <w:rFonts w:hint="eastAsia" w:ascii="仿宋_GB2312" w:hAnsi="仿宋_GB2312" w:eastAsia="仿宋_GB2312" w:cs="仿宋_GB2312"/>
                <w:color w:val="000000"/>
                <w:sz w:val="24"/>
              </w:rPr>
              <w:t>家、职工</w:t>
            </w:r>
            <w:r>
              <w:rPr>
                <w:rFonts w:hint="eastAsia" w:ascii="仿宋_GB2312" w:hAnsi="仿宋_GB2312" w:eastAsia="仿宋_GB2312" w:cs="仿宋_GB2312"/>
                <w:color w:val="000000"/>
                <w:sz w:val="24"/>
                <w:lang w:val="en-US" w:eastAsia="zh-CN"/>
              </w:rPr>
              <w:t>3435</w:t>
            </w:r>
            <w:r>
              <w:rPr>
                <w:rFonts w:hint="eastAsia" w:ascii="仿宋_GB2312" w:hAnsi="仿宋_GB2312" w:eastAsia="仿宋_GB2312" w:cs="仿宋_GB2312"/>
                <w:color w:val="000000"/>
                <w:sz w:val="24"/>
              </w:rPr>
              <w:t>人</w:t>
            </w:r>
            <w:r>
              <w:rPr>
                <w:rFonts w:hint="eastAsia" w:ascii="仿宋_GB2312" w:hAnsi="仿宋_GB2312" w:eastAsia="仿宋_GB2312" w:cs="仿宋_GB2312"/>
                <w:color w:val="000000"/>
                <w:sz w:val="24"/>
                <w:lang w:eastAsia="zh-CN"/>
              </w:rPr>
              <w:t>，女职工专项集体合同企业签订率</w:t>
            </w:r>
            <w:r>
              <w:rPr>
                <w:rFonts w:hint="eastAsia" w:ascii="仿宋_GB2312" w:hAnsi="仿宋_GB2312" w:eastAsia="仿宋_GB2312" w:cs="仿宋_GB2312"/>
                <w:color w:val="000000"/>
                <w:sz w:val="24"/>
                <w:lang w:val="en-US" w:eastAsia="zh-CN"/>
              </w:rPr>
              <w:t>100%</w:t>
            </w:r>
            <w:r>
              <w:rPr>
                <w:rFonts w:hint="eastAsia" w:ascii="仿宋_GB2312" w:hAnsi="仿宋_GB2312" w:eastAsia="仿宋_GB2312" w:cs="仿宋_GB2312"/>
                <w:color w:val="000000"/>
                <w:sz w:val="24"/>
              </w:rPr>
              <w:t>。</w:t>
            </w:r>
            <w:r>
              <w:rPr>
                <w:rFonts w:hint="eastAsia" w:ascii="仿宋_GB2312" w:hAnsi="仿宋_GB2312" w:eastAsia="仿宋_GB2312" w:cs="仿宋_GB2312"/>
                <w:color w:val="000000"/>
                <w:sz w:val="24"/>
                <w:lang w:eastAsia="zh-CN"/>
              </w:rPr>
              <w:t>更加注重</w:t>
            </w:r>
            <w:r>
              <w:rPr>
                <w:rFonts w:hint="eastAsia" w:ascii="仿宋_GB2312" w:hAnsi="仿宋_GB2312" w:eastAsia="仿宋_GB2312" w:cs="仿宋_GB2312"/>
                <w:color w:val="000000"/>
                <w:sz w:val="24"/>
              </w:rPr>
              <w:t>做实医疗互助、心理辅导、法律援助</w:t>
            </w:r>
            <w:r>
              <w:rPr>
                <w:rFonts w:hint="eastAsia" w:ascii="仿宋_GB2312" w:hAnsi="仿宋_GB2312" w:eastAsia="仿宋_GB2312" w:cs="仿宋_GB2312"/>
                <w:color w:val="000000"/>
                <w:sz w:val="24"/>
                <w:lang w:eastAsia="zh-CN"/>
              </w:rPr>
              <w:t>、普法宣传、女职工双病双癌普查</w:t>
            </w:r>
            <w:r>
              <w:rPr>
                <w:rFonts w:hint="eastAsia" w:ascii="仿宋_GB2312" w:hAnsi="仿宋_GB2312" w:eastAsia="仿宋_GB2312" w:cs="仿宋_GB2312"/>
                <w:color w:val="000000"/>
                <w:sz w:val="24"/>
              </w:rPr>
              <w:t>等平时帮扶，</w:t>
            </w:r>
            <w:r>
              <w:rPr>
                <w:rFonts w:hint="eastAsia" w:ascii="仿宋_GB2312" w:hAnsi="仿宋_GB2312" w:eastAsia="仿宋_GB2312" w:cs="仿宋_GB2312"/>
                <w:color w:val="000000"/>
                <w:sz w:val="24"/>
                <w:lang w:val="en-US" w:eastAsia="zh-CN"/>
              </w:rPr>
              <w:t>普法“进园区、进企业、进社区、进校园、进机关”暨网络安全宣传主题活动共分发各类普法和网络安全资料1800多份，接受28人次现场咨询解答，提升了职工普法和网络安全个人信息保护意识。</w:t>
            </w:r>
            <w:r>
              <w:rPr>
                <w:rFonts w:hint="eastAsia" w:ascii="仿宋_GB2312" w:hAnsi="仿宋_GB2312" w:eastAsia="仿宋_GB2312" w:cs="仿宋_GB2312"/>
                <w:color w:val="000000"/>
                <w:sz w:val="24"/>
                <w:lang w:eastAsia="zh-CN"/>
              </w:rPr>
              <w:t>元至</w:t>
            </w:r>
            <w:r>
              <w:rPr>
                <w:rFonts w:hint="eastAsia" w:ascii="仿宋_GB2312" w:hAnsi="仿宋_GB2312" w:eastAsia="仿宋_GB2312" w:cs="仿宋_GB2312"/>
                <w:color w:val="000000"/>
                <w:sz w:val="24"/>
                <w:lang w:val="en-US" w:eastAsia="zh-CN"/>
              </w:rPr>
              <w:t>11月</w:t>
            </w:r>
            <w:r>
              <w:rPr>
                <w:rFonts w:hint="eastAsia" w:ascii="仿宋_GB2312" w:hAnsi="仿宋_GB2312" w:eastAsia="仿宋_GB2312" w:cs="仿宋_GB2312"/>
                <w:color w:val="000000"/>
                <w:sz w:val="24"/>
              </w:rPr>
              <w:t>报销医疗互助583人，补助34.23万元</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lang w:val="en-US" w:eastAsia="zh-CN"/>
              </w:rPr>
              <w:t>一对一进行心理辅导30人次，线上及电话接访咨询52人，服务时长151小时</w:t>
            </w:r>
            <w:r>
              <w:rPr>
                <w:rFonts w:hint="eastAsia" w:ascii="仿宋_GB2312" w:hAnsi="仿宋_GB2312" w:eastAsia="仿宋_GB2312" w:cs="仿宋_GB2312"/>
                <w:color w:val="000000"/>
                <w:sz w:val="24"/>
                <w:lang w:eastAsia="zh-CN"/>
              </w:rPr>
              <w:t>；处理解决中彩金案件共</w:t>
            </w:r>
            <w:r>
              <w:rPr>
                <w:rFonts w:hint="eastAsia" w:ascii="仿宋_GB2312" w:hAnsi="仿宋_GB2312" w:eastAsia="仿宋_GB2312" w:cs="仿宋_GB2312"/>
                <w:color w:val="000000"/>
                <w:sz w:val="24"/>
                <w:lang w:val="en-US" w:eastAsia="zh-CN"/>
              </w:rPr>
              <w:t>11起，</w:t>
            </w:r>
            <w:r>
              <w:rPr>
                <w:rFonts w:hint="eastAsia" w:ascii="仿宋_GB2312" w:hAnsi="仿宋_GB2312" w:eastAsia="仿宋_GB2312" w:cs="仿宋_GB2312"/>
                <w:color w:val="000000"/>
                <w:sz w:val="24"/>
              </w:rPr>
              <w:t>拨付法律援助办案补贴</w:t>
            </w:r>
            <w:r>
              <w:rPr>
                <w:rFonts w:hint="eastAsia" w:ascii="仿宋_GB2312" w:hAnsi="仿宋_GB2312" w:eastAsia="仿宋_GB2312" w:cs="仿宋_GB2312"/>
                <w:color w:val="000000"/>
                <w:sz w:val="24"/>
                <w:lang w:val="en-US" w:eastAsia="zh-CN"/>
              </w:rPr>
              <w:t>2</w:t>
            </w:r>
            <w:r>
              <w:rPr>
                <w:rFonts w:hint="eastAsia" w:ascii="仿宋_GB2312" w:hAnsi="仿宋_GB2312" w:eastAsia="仿宋_GB2312" w:cs="仿宋_GB2312"/>
                <w:color w:val="000000"/>
                <w:sz w:val="24"/>
              </w:rPr>
              <w:t>.2万元</w:t>
            </w:r>
            <w:r>
              <w:rPr>
                <w:rFonts w:hint="eastAsia" w:ascii="仿宋_GB2312" w:hAnsi="仿宋_GB2312" w:eastAsia="仿宋_GB2312" w:cs="仿宋_GB2312"/>
                <w:color w:val="000000"/>
                <w:sz w:val="24"/>
                <w:lang w:val="en-US" w:eastAsia="zh-CN"/>
              </w:rPr>
              <w:t>。打造志愿服务新品牌，以文明机关创建为抓手，组建志愿服务队开展各类志愿活动。5月，联合团区委、妇联举办“青云有志，U创未来”厂港地青年交流营系列活动启动仪式，凝聚青春动能，建功云溪发展。5月与区妇联、区教体局协作联动，开展“家风润童心 一起向未来”活动，通过亲子互动、家教家风微宣讲等形式，将党的温暖及工会组织的关爱送到广大职工及其子女身边；</w:t>
            </w:r>
            <w:r>
              <w:rPr>
                <w:rFonts w:hint="eastAsia" w:ascii="仿宋_GB2312" w:hAnsi="仿宋_GB2312" w:eastAsia="仿宋_GB2312" w:cs="仿宋_GB2312"/>
                <w:color w:val="000000"/>
                <w:sz w:val="24"/>
                <w:lang w:eastAsia="zh-CN"/>
              </w:rPr>
              <w:t>还</w:t>
            </w:r>
            <w:r>
              <w:rPr>
                <w:rFonts w:hint="eastAsia" w:ascii="仿宋_GB2312" w:hAnsi="仿宋_GB2312" w:eastAsia="仿宋_GB2312" w:cs="仿宋_GB2312"/>
                <w:color w:val="000000"/>
                <w:sz w:val="24"/>
                <w:lang w:val="en-US" w:eastAsia="zh-CN"/>
              </w:rPr>
              <w:t>举办了“花艺体验课”“形体艺术课”等芙蓉公益课堂，</w:t>
            </w:r>
            <w:r>
              <w:rPr>
                <w:rFonts w:hint="eastAsia" w:ascii="仿宋_GB2312" w:hAnsi="仿宋_GB2312" w:eastAsia="仿宋_GB2312" w:cs="仿宋_GB2312"/>
                <w:color w:val="000000"/>
                <w:sz w:val="24"/>
              </w:rPr>
              <w:t>特别是以“喜迎二十大</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建功新时代”为主题，</w:t>
            </w:r>
            <w:r>
              <w:rPr>
                <w:rFonts w:hint="eastAsia" w:ascii="仿宋_GB2312" w:hAnsi="仿宋_GB2312" w:eastAsia="仿宋_GB2312" w:cs="仿宋_GB2312"/>
                <w:color w:val="000000"/>
                <w:sz w:val="24"/>
                <w:lang w:val="en-US" w:eastAsia="zh-CN"/>
              </w:rPr>
              <w:t>举办女职工阅读活动，网上直播收看超过5万人次，被省总女工委、市总树为示范样板向全省推介。</w:t>
            </w:r>
            <w:r>
              <w:rPr>
                <w:rFonts w:hint="eastAsia" w:ascii="仿宋_GB2312" w:hAnsi="仿宋_GB2312" w:eastAsia="仿宋_GB2312" w:cs="仿宋_GB2312"/>
                <w:color w:val="000000"/>
                <w:sz w:val="24"/>
                <w:lang w:eastAsia="zh-CN"/>
              </w:rPr>
              <w:t>此外，开展</w:t>
            </w:r>
            <w:r>
              <w:rPr>
                <w:rFonts w:hint="eastAsia" w:ascii="仿宋_GB2312" w:hAnsi="仿宋_GB2312" w:eastAsia="仿宋_GB2312" w:cs="仿宋_GB2312"/>
                <w:color w:val="000000"/>
                <w:sz w:val="24"/>
                <w:lang w:val="en-US" w:eastAsia="zh-CN"/>
              </w:rPr>
              <w:t>“守护好一江碧水”净摊行动，“爱心护航省运会”，高速卡口防疫值班值守等活动，倡导文明新风尚，展示了工会干部职工新形象。</w:t>
            </w:r>
          </w:p>
          <w:p w14:paraId="3ACB126C">
            <w:pPr>
              <w:autoSpaceDN w:val="0"/>
              <w:spacing w:line="320" w:lineRule="exact"/>
              <w:ind w:firstLine="723" w:firstLineChars="300"/>
              <w:jc w:val="left"/>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b/>
                <w:bCs/>
                <w:color w:val="000000"/>
                <w:sz w:val="24"/>
                <w:lang w:eastAsia="zh-CN"/>
              </w:rPr>
              <w:t>五</w:t>
            </w:r>
            <w:r>
              <w:rPr>
                <w:rFonts w:hint="eastAsia" w:ascii="仿宋_GB2312" w:hAnsi="仿宋_GB2312" w:eastAsia="仿宋_GB2312" w:cs="仿宋_GB2312"/>
                <w:b/>
                <w:bCs/>
                <w:color w:val="000000"/>
                <w:sz w:val="24"/>
              </w:rPr>
              <w:t>.注重管理规范，作用发挥更加充分。</w:t>
            </w:r>
            <w:r>
              <w:rPr>
                <w:rFonts w:hint="eastAsia" w:ascii="仿宋_GB2312" w:hAnsi="仿宋_GB2312" w:eastAsia="仿宋_GB2312" w:cs="仿宋_GB2312"/>
                <w:color w:val="000000"/>
                <w:sz w:val="24"/>
                <w:lang w:eastAsia="zh-CN"/>
              </w:rPr>
              <w:t>坚持从</w:t>
            </w:r>
            <w:r>
              <w:rPr>
                <w:rFonts w:hint="eastAsia" w:ascii="仿宋_GB2312" w:hAnsi="仿宋_GB2312" w:eastAsia="仿宋_GB2312" w:cs="仿宋_GB2312"/>
                <w:color w:val="000000"/>
                <w:sz w:val="24"/>
              </w:rPr>
              <w:t>严管会治会，</w:t>
            </w:r>
            <w:r>
              <w:rPr>
                <w:rFonts w:hint="eastAsia" w:ascii="仿宋_GB2312" w:hAnsi="仿宋_GB2312" w:eastAsia="仿宋_GB2312" w:cs="仿宋_GB2312"/>
                <w:color w:val="000000"/>
                <w:sz w:val="24"/>
                <w:lang w:eastAsia="zh-CN"/>
              </w:rPr>
              <w:t>加强工会系统党的建设、法治建设和机关建设，推动各项工作争先创优。</w:t>
            </w:r>
            <w:r>
              <w:rPr>
                <w:rFonts w:hint="eastAsia" w:ascii="仿宋_GB2312" w:hAnsi="仿宋_GB2312" w:eastAsia="仿宋_GB2312" w:cs="仿宋_GB2312"/>
                <w:color w:val="000000"/>
                <w:sz w:val="24"/>
              </w:rPr>
              <w:t>整队聚合力</w:t>
            </w:r>
            <w:r>
              <w:rPr>
                <w:rFonts w:hint="eastAsia" w:ascii="仿宋_GB2312" w:hAnsi="仿宋_GB2312" w:eastAsia="仿宋_GB2312" w:cs="仿宋_GB2312"/>
                <w:color w:val="000000"/>
                <w:sz w:val="24"/>
                <w:lang w:eastAsia="zh-CN"/>
              </w:rPr>
              <w:t>。争取区委、区政府重视支持，调整充实了区总工会四届委员会委员和常委，配备了工会兼职副主席，党组“统揽全局，协调各方”的能力进一步增强。把基层组织建设与工会干部队伍建设结合起来，</w:t>
            </w:r>
            <w:r>
              <w:rPr>
                <w:rFonts w:hint="eastAsia" w:ascii="仿宋_GB2312" w:hAnsi="仿宋_GB2312" w:eastAsia="仿宋_GB2312" w:cs="仿宋_GB2312"/>
                <w:color w:val="000000"/>
                <w:sz w:val="24"/>
              </w:rPr>
              <w:t>依法依章程</w:t>
            </w:r>
            <w:r>
              <w:rPr>
                <w:rFonts w:hint="eastAsia" w:ascii="仿宋_GB2312" w:hAnsi="仿宋_GB2312" w:eastAsia="仿宋_GB2312" w:cs="仿宋_GB2312"/>
                <w:color w:val="000000"/>
                <w:sz w:val="24"/>
                <w:lang w:eastAsia="zh-CN"/>
              </w:rPr>
              <w:t>已</w:t>
            </w:r>
            <w:r>
              <w:rPr>
                <w:rFonts w:hint="eastAsia" w:ascii="仿宋_GB2312" w:hAnsi="仿宋_GB2312" w:eastAsia="仿宋_GB2312" w:cs="仿宋_GB2312"/>
                <w:color w:val="000000"/>
                <w:sz w:val="24"/>
              </w:rPr>
              <w:t>指导</w:t>
            </w:r>
            <w:r>
              <w:rPr>
                <w:rFonts w:hint="eastAsia" w:ascii="仿宋_GB2312" w:hAnsi="仿宋_GB2312" w:eastAsia="仿宋_GB2312" w:cs="仿宋_GB2312"/>
                <w:color w:val="000000"/>
                <w:sz w:val="24"/>
                <w:lang w:val="en-US" w:eastAsia="zh-CN"/>
              </w:rPr>
              <w:t>24</w:t>
            </w:r>
            <w:r>
              <w:rPr>
                <w:rFonts w:hint="eastAsia" w:ascii="仿宋_GB2312" w:hAnsi="仿宋_GB2312" w:eastAsia="仿宋_GB2312" w:cs="仿宋_GB2312"/>
                <w:color w:val="000000"/>
                <w:sz w:val="24"/>
              </w:rPr>
              <w:t>个基层工会完成换届选举，一批中青年骨干进入工会系统。整章建机制</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学习贯彻新修正的《工会法》，主动协调人社、民政、司法等部门，完善职称评价、厂务公开、劳动维权等工作联动机制；坚持用制度管人管事，全面修订区总工会机关管理制度，做到规范有序、运转高效。整风塑形象</w:t>
            </w:r>
            <w:r>
              <w:rPr>
                <w:rFonts w:hint="eastAsia" w:ascii="仿宋_GB2312" w:hAnsi="仿宋_GB2312" w:eastAsia="仿宋_GB2312" w:cs="仿宋_GB2312"/>
                <w:color w:val="000000"/>
                <w:sz w:val="24"/>
                <w:lang w:eastAsia="zh-CN"/>
              </w:rPr>
              <w:t>。在区总工会四届五次全会上专门召开工会系统党风廉政建设会议，</w:t>
            </w:r>
            <w:r>
              <w:rPr>
                <w:rFonts w:hint="eastAsia" w:ascii="仿宋_GB2312" w:hAnsi="仿宋_GB2312" w:eastAsia="仿宋_GB2312" w:cs="仿宋_GB2312"/>
                <w:color w:val="000000"/>
                <w:sz w:val="24"/>
              </w:rPr>
              <w:t>落实党风廉政建设责任制</w:t>
            </w:r>
            <w:r>
              <w:rPr>
                <w:rFonts w:hint="eastAsia" w:ascii="仿宋_GB2312" w:hAnsi="仿宋_GB2312" w:eastAsia="仿宋_GB2312" w:cs="仿宋_GB2312"/>
                <w:color w:val="000000"/>
                <w:sz w:val="24"/>
                <w:lang w:eastAsia="zh-CN"/>
              </w:rPr>
              <w:t>；先后召开“深化整治违规收送红包礼金工作会”和“双十严禁”专题行动，通过主动签订承诺书，制订出台《云溪区总工会“清廉工会”建设工作方案》《“建清廉工会 扬清风正气”主题活动方案》，抓细做实清廉机关、清廉家庭等重点工作。在工会系统形成良好氛围，更好地</w:t>
            </w:r>
            <w:r>
              <w:rPr>
                <w:rFonts w:hint="eastAsia" w:ascii="仿宋_GB2312" w:hAnsi="仿宋_GB2312" w:eastAsia="仿宋_GB2312" w:cs="仿宋_GB2312"/>
                <w:color w:val="000000"/>
                <w:sz w:val="24"/>
              </w:rPr>
              <w:t>推动</w:t>
            </w:r>
            <w:r>
              <w:rPr>
                <w:rFonts w:hint="eastAsia" w:ascii="仿宋_GB2312" w:hAnsi="仿宋_GB2312" w:eastAsia="仿宋_GB2312" w:cs="仿宋_GB2312"/>
                <w:color w:val="000000"/>
                <w:sz w:val="24"/>
                <w:lang w:eastAsia="zh-CN"/>
              </w:rPr>
              <w:t>“</w:t>
            </w:r>
            <w:r>
              <w:rPr>
                <w:rFonts w:hint="eastAsia" w:ascii="仿宋_GB2312" w:hAnsi="仿宋_GB2312" w:eastAsia="仿宋_GB2312" w:cs="仿宋_GB2312"/>
                <w:color w:val="000000"/>
                <w:sz w:val="24"/>
              </w:rPr>
              <w:t>建清廉工会</w:t>
            </w:r>
            <w:r>
              <w:rPr>
                <w:rFonts w:hint="eastAsia" w:ascii="仿宋_GB2312" w:hAnsi="仿宋_GB2312" w:eastAsia="仿宋_GB2312" w:cs="仿宋_GB2312"/>
                <w:color w:val="000000"/>
                <w:sz w:val="24"/>
                <w:lang w:val="en-US" w:eastAsia="zh-CN"/>
              </w:rPr>
              <w:t xml:space="preserve"> </w:t>
            </w:r>
            <w:r>
              <w:rPr>
                <w:rFonts w:hint="eastAsia" w:ascii="仿宋_GB2312" w:hAnsi="仿宋_GB2312" w:eastAsia="仿宋_GB2312" w:cs="仿宋_GB2312"/>
                <w:color w:val="000000"/>
                <w:sz w:val="24"/>
              </w:rPr>
              <w:t>扬清风正气</w:t>
            </w:r>
            <w:r>
              <w:rPr>
                <w:rFonts w:hint="eastAsia" w:ascii="仿宋_GB2312" w:hAnsi="仿宋_GB2312" w:eastAsia="仿宋_GB2312" w:cs="仿宋_GB2312"/>
                <w:color w:val="000000"/>
                <w:sz w:val="24"/>
                <w:lang w:eastAsia="zh-CN"/>
              </w:rPr>
              <w:t>”向</w:t>
            </w:r>
            <w:r>
              <w:rPr>
                <w:rFonts w:hint="eastAsia" w:ascii="仿宋_GB2312" w:hAnsi="仿宋_GB2312" w:eastAsia="仿宋_GB2312" w:cs="仿宋_GB2312"/>
                <w:color w:val="000000"/>
                <w:sz w:val="24"/>
              </w:rPr>
              <w:t>纵深发展</w:t>
            </w:r>
            <w:r>
              <w:rPr>
                <w:rFonts w:hint="eastAsia" w:ascii="仿宋_GB2312" w:hAnsi="仿宋_GB2312" w:eastAsia="仿宋_GB2312" w:cs="仿宋_GB2312"/>
                <w:color w:val="000000"/>
                <w:sz w:val="24"/>
                <w:lang w:eastAsia="zh-CN"/>
              </w:rPr>
              <w:t>。加强工会财务资产管理，全覆盖开展经审，</w:t>
            </w:r>
            <w:r>
              <w:rPr>
                <w:rFonts w:hint="eastAsia" w:ascii="仿宋_GB2312" w:hAnsi="仿宋_GB2312" w:eastAsia="仿宋_GB2312" w:cs="仿宋_GB2312"/>
                <w:color w:val="000000"/>
                <w:sz w:val="24"/>
              </w:rPr>
              <w:t>对</w:t>
            </w:r>
            <w:r>
              <w:rPr>
                <w:rFonts w:hint="eastAsia" w:ascii="仿宋_GB2312" w:hAnsi="仿宋_GB2312" w:eastAsia="仿宋_GB2312" w:cs="仿宋_GB2312"/>
                <w:color w:val="000000"/>
                <w:sz w:val="24"/>
                <w:lang w:val="en-US" w:eastAsia="zh-CN"/>
              </w:rPr>
              <w:t>33</w:t>
            </w:r>
            <w:r>
              <w:rPr>
                <w:rFonts w:hint="eastAsia" w:ascii="仿宋_GB2312" w:hAnsi="仿宋_GB2312" w:eastAsia="仿宋_GB2312" w:cs="仿宋_GB2312"/>
                <w:color w:val="000000"/>
                <w:sz w:val="24"/>
              </w:rPr>
              <w:t>家工会组织进行全面审计，下发整改通知</w:t>
            </w:r>
            <w:r>
              <w:rPr>
                <w:rFonts w:hint="eastAsia" w:ascii="仿宋_GB2312" w:hAnsi="仿宋_GB2312" w:eastAsia="仿宋_GB2312" w:cs="仿宋_GB2312"/>
                <w:color w:val="000000"/>
                <w:sz w:val="24"/>
                <w:lang w:val="en-US" w:eastAsia="zh-CN"/>
              </w:rPr>
              <w:t>33</w:t>
            </w:r>
            <w:r>
              <w:rPr>
                <w:rFonts w:hint="eastAsia" w:ascii="仿宋_GB2312" w:hAnsi="仿宋_GB2312" w:eastAsia="仿宋_GB2312" w:cs="仿宋_GB2312"/>
                <w:color w:val="000000"/>
                <w:sz w:val="24"/>
              </w:rPr>
              <w:t>个，</w:t>
            </w:r>
            <w:r>
              <w:rPr>
                <w:rFonts w:hint="eastAsia" w:ascii="仿宋_GB2312" w:hAnsi="仿宋_GB2312" w:eastAsia="仿宋_GB2312" w:cs="仿宋_GB2312"/>
                <w:color w:val="000000"/>
                <w:sz w:val="24"/>
                <w:lang w:eastAsia="zh-CN"/>
              </w:rPr>
              <w:t>目前各单位均已</w:t>
            </w:r>
            <w:r>
              <w:rPr>
                <w:rFonts w:hint="eastAsia" w:ascii="仿宋_GB2312" w:hAnsi="仿宋_GB2312" w:eastAsia="仿宋_GB2312" w:cs="仿宋_GB2312"/>
                <w:color w:val="000000"/>
                <w:sz w:val="24"/>
              </w:rPr>
              <w:t>整改到位</w:t>
            </w:r>
            <w:r>
              <w:rPr>
                <w:rFonts w:hint="eastAsia" w:ascii="仿宋_GB2312" w:hAnsi="仿宋_GB2312" w:eastAsia="仿宋_GB2312" w:cs="仿宋_GB2312"/>
                <w:color w:val="000000"/>
                <w:sz w:val="24"/>
                <w:lang w:val="en-US" w:eastAsia="zh-CN"/>
              </w:rPr>
              <w:t>。</w:t>
            </w:r>
          </w:p>
          <w:p w14:paraId="1D370487">
            <w:pPr>
              <w:autoSpaceDN w:val="0"/>
              <w:spacing w:line="320" w:lineRule="exact"/>
              <w:ind w:firstLine="840" w:firstLineChars="300"/>
              <w:jc w:val="left"/>
              <w:textAlignment w:val="center"/>
              <w:rPr>
                <w:rFonts w:hint="eastAsia" w:ascii="黑体" w:hAnsi="黑体" w:eastAsia="黑体" w:cs="黑体"/>
                <w:bCs/>
                <w:sz w:val="28"/>
                <w:szCs w:val="28"/>
                <w:lang w:val="en-US" w:eastAsia="zh-CN"/>
              </w:rPr>
            </w:pPr>
          </w:p>
        </w:tc>
      </w:tr>
    </w:tbl>
    <w:p w14:paraId="02ACF105">
      <w:pPr>
        <w:spacing w:line="348" w:lineRule="auto"/>
        <w:rPr>
          <w:rFonts w:eastAsia="楷体_GB2312"/>
          <w:bCs/>
          <w:sz w:val="28"/>
          <w:szCs w:val="28"/>
        </w:rPr>
      </w:pPr>
    </w:p>
    <w:p w14:paraId="103EA5D8">
      <w:pPr>
        <w:spacing w:line="348" w:lineRule="auto"/>
        <w:rPr>
          <w:rFonts w:hint="eastAsia"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14:paraId="5D4D9DC1">
      <w:pPr>
        <w:spacing w:line="120" w:lineRule="auto"/>
        <w:jc w:val="center"/>
        <w:rPr>
          <w:rFonts w:hint="eastAsia" w:ascii="黑体" w:hAnsi="黑体" w:eastAsia="黑体"/>
          <w:sz w:val="36"/>
          <w:szCs w:val="36"/>
        </w:rPr>
      </w:pPr>
      <w:r>
        <w:rPr>
          <w:rFonts w:hint="eastAsia" w:ascii="黑体" w:hAnsi="黑体" w:eastAsia="黑体"/>
          <w:sz w:val="32"/>
          <w:szCs w:val="32"/>
        </w:rPr>
        <w:t xml:space="preserve">  </w:t>
      </w:r>
      <w:r>
        <w:rPr>
          <w:rFonts w:hint="eastAsia" w:ascii="黑体" w:hAnsi="黑体" w:eastAsia="黑体"/>
          <w:sz w:val="36"/>
          <w:szCs w:val="36"/>
        </w:rPr>
        <w:t xml:space="preserve"> 云溪区总工会部门整体支出绩效评价评分表</w:t>
      </w:r>
    </w:p>
    <w:tbl>
      <w:tblPr>
        <w:tblStyle w:val="4"/>
        <w:tblW w:w="9894" w:type="dxa"/>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14:paraId="4E7D5052">
        <w:tblPrEx>
          <w:tblCellMar>
            <w:top w:w="0" w:type="dxa"/>
            <w:left w:w="108" w:type="dxa"/>
            <w:bottom w:w="0" w:type="dxa"/>
            <w:right w:w="108" w:type="dxa"/>
          </w:tblCellMar>
        </w:tblPrEx>
        <w:trPr>
          <w:trHeight w:val="39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498C8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noWrap w:val="0"/>
            <w:vAlign w:val="center"/>
          </w:tcPr>
          <w:p w14:paraId="45480929">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14:paraId="7757C6BB">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14:paraId="79E54BD4">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14:paraId="4F1A2553">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14:paraId="346945C3">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31746F8B">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14:paraId="6CF63803">
        <w:tblPrEx>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14:paraId="2ACD4DF2">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投  入</w:t>
            </w:r>
          </w:p>
          <w:p w14:paraId="48832EE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noWrap w:val="0"/>
            <w:vAlign w:val="center"/>
          </w:tcPr>
          <w:p w14:paraId="1203A707">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预算配置</w:t>
            </w:r>
          </w:p>
          <w:p w14:paraId="1D80245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14:paraId="4F949B81">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14:paraId="52063CD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14:paraId="771C9601">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noWrap w:val="0"/>
            <w:vAlign w:val="center"/>
          </w:tcPr>
          <w:p w14:paraId="3491186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14:paraId="68A6A4E9">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14:paraId="24CA9BB1">
            <w:pPr>
              <w:widowControl/>
              <w:spacing w:line="240" w:lineRule="exact"/>
              <w:jc w:val="left"/>
              <w:rPr>
                <w:rFonts w:ascii="仿宋_GB2312" w:hAnsi="宋体" w:eastAsia="仿宋_GB2312" w:cs="宋体"/>
                <w:color w:val="000000"/>
                <w:kern w:val="0"/>
                <w:sz w:val="18"/>
                <w:szCs w:val="18"/>
              </w:rPr>
            </w:pPr>
          </w:p>
        </w:tc>
      </w:tr>
      <w:tr w14:paraId="3C7BA457">
        <w:tblPrEx>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6B7F62F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2004115B">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6DD4D75C">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14:paraId="4562C3E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noWrap w:val="0"/>
            <w:vAlign w:val="center"/>
          </w:tcPr>
          <w:p w14:paraId="792CC33D">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14:paraId="639E17D3">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noWrap w:val="0"/>
            <w:vAlign w:val="center"/>
          </w:tcPr>
          <w:p w14:paraId="6A0C2F9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14:paraId="5B3D7730">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14:paraId="0430FEC6">
            <w:pPr>
              <w:widowControl/>
              <w:spacing w:line="240" w:lineRule="exact"/>
              <w:jc w:val="left"/>
              <w:rPr>
                <w:rFonts w:ascii="仿宋_GB2312" w:hAnsi="宋体" w:eastAsia="仿宋_GB2312" w:cs="宋体"/>
                <w:color w:val="000000"/>
                <w:kern w:val="0"/>
                <w:sz w:val="18"/>
                <w:szCs w:val="18"/>
              </w:rPr>
            </w:pPr>
          </w:p>
        </w:tc>
      </w:tr>
      <w:tr w14:paraId="7D89F45F">
        <w:tblPrEx>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694D8F3C">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40108367">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570A77E7">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重点支出</w:t>
            </w:r>
          </w:p>
          <w:p w14:paraId="167B6B5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noWrap w:val="0"/>
            <w:vAlign w:val="center"/>
          </w:tcPr>
          <w:p w14:paraId="3645DABD">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noWrap w:val="0"/>
            <w:vAlign w:val="center"/>
          </w:tcPr>
          <w:p w14:paraId="41CEBD2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14:paraId="336DCFE3">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noWrap w:val="0"/>
            <w:vAlign w:val="center"/>
          </w:tcPr>
          <w:p w14:paraId="049B88F4">
            <w:pPr>
              <w:widowControl/>
              <w:spacing w:line="240" w:lineRule="exact"/>
              <w:jc w:val="left"/>
              <w:rPr>
                <w:rFonts w:ascii="仿宋_GB2312" w:hAnsi="宋体" w:eastAsia="仿宋_GB2312" w:cs="宋体"/>
                <w:color w:val="000000"/>
                <w:kern w:val="0"/>
                <w:sz w:val="18"/>
                <w:szCs w:val="18"/>
              </w:rPr>
            </w:pPr>
          </w:p>
        </w:tc>
      </w:tr>
      <w:tr w14:paraId="171E0423">
        <w:tblPrEx>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noWrap w:val="0"/>
            <w:vAlign w:val="center"/>
          </w:tcPr>
          <w:p w14:paraId="0D2736C1">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过  程</w:t>
            </w:r>
          </w:p>
          <w:p w14:paraId="26A9B74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noWrap w:val="0"/>
            <w:vAlign w:val="center"/>
          </w:tcPr>
          <w:p w14:paraId="60F8102C">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预算执行</w:t>
            </w:r>
          </w:p>
          <w:p w14:paraId="50489F4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14:paraId="311A1C4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noWrap w:val="0"/>
            <w:vAlign w:val="center"/>
          </w:tcPr>
          <w:p w14:paraId="2E13F6D7">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noWrap w:val="0"/>
            <w:vAlign w:val="center"/>
          </w:tcPr>
          <w:p w14:paraId="2D18454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381F5789">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21CB18A1">
            <w:pPr>
              <w:widowControl/>
              <w:spacing w:line="240" w:lineRule="exact"/>
              <w:jc w:val="center"/>
              <w:rPr>
                <w:rFonts w:ascii="仿宋_GB2312" w:hAnsi="宋体" w:eastAsia="仿宋_GB2312" w:cs="宋体"/>
                <w:color w:val="000000"/>
                <w:kern w:val="0"/>
                <w:sz w:val="18"/>
                <w:szCs w:val="18"/>
              </w:rPr>
            </w:pPr>
          </w:p>
        </w:tc>
      </w:tr>
      <w:tr w14:paraId="304A21AE">
        <w:tblPrEx>
          <w:tblCellMar>
            <w:top w:w="0" w:type="dxa"/>
            <w:left w:w="108" w:type="dxa"/>
            <w:bottom w:w="0" w:type="dxa"/>
            <w:right w:w="108" w:type="dxa"/>
          </w:tblCellMar>
        </w:tblPrEx>
        <w:trPr>
          <w:trHeight w:val="10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25ABA9C0">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6CD74324">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0192FEE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noWrap w:val="0"/>
            <w:vAlign w:val="center"/>
          </w:tcPr>
          <w:p w14:paraId="5638BAE3">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春节前下达全部专项资金的50%；6月底前所有专项资金指标全部下达完。</w:t>
            </w:r>
          </w:p>
          <w:p w14:paraId="0487021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noWrap w:val="0"/>
            <w:vAlign w:val="center"/>
          </w:tcPr>
          <w:p w14:paraId="122CDF5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3486751F">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14B6E47F">
            <w:pPr>
              <w:widowControl/>
              <w:spacing w:line="240" w:lineRule="exact"/>
              <w:jc w:val="center"/>
              <w:rPr>
                <w:rFonts w:ascii="仿宋_GB2312" w:hAnsi="宋体" w:eastAsia="仿宋_GB2312" w:cs="宋体"/>
                <w:color w:val="000000"/>
                <w:kern w:val="0"/>
                <w:sz w:val="18"/>
                <w:szCs w:val="18"/>
              </w:rPr>
            </w:pPr>
          </w:p>
        </w:tc>
      </w:tr>
      <w:tr w14:paraId="1ABD3469">
        <w:tblPrEx>
          <w:tblCellMar>
            <w:top w:w="0" w:type="dxa"/>
            <w:left w:w="108" w:type="dxa"/>
            <w:bottom w:w="0" w:type="dxa"/>
            <w:right w:w="108" w:type="dxa"/>
          </w:tblCellMar>
        </w:tblPrEx>
        <w:trPr>
          <w:trHeight w:val="739"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25AEBCE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3C568308">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1776E52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noWrap w:val="0"/>
            <w:vAlign w:val="center"/>
          </w:tcPr>
          <w:p w14:paraId="220A3BE2">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noWrap w:val="0"/>
            <w:vAlign w:val="center"/>
          </w:tcPr>
          <w:p w14:paraId="7DC24DD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4EA180FE">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1004B640">
            <w:pPr>
              <w:widowControl/>
              <w:spacing w:line="240" w:lineRule="exact"/>
              <w:jc w:val="center"/>
              <w:rPr>
                <w:rFonts w:ascii="仿宋_GB2312" w:hAnsi="宋体" w:eastAsia="仿宋_GB2312" w:cs="宋体"/>
                <w:color w:val="000000"/>
                <w:kern w:val="0"/>
                <w:sz w:val="18"/>
                <w:szCs w:val="18"/>
              </w:rPr>
            </w:pPr>
          </w:p>
        </w:tc>
      </w:tr>
      <w:tr w14:paraId="4C07FB57">
        <w:tblPrEx>
          <w:tblCellMar>
            <w:top w:w="0" w:type="dxa"/>
            <w:left w:w="108" w:type="dxa"/>
            <w:bottom w:w="0" w:type="dxa"/>
            <w:right w:w="108" w:type="dxa"/>
          </w:tblCellMar>
        </w:tblPrEx>
        <w:trPr>
          <w:trHeight w:val="5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7E6CB86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27BBBBE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5EAA296D">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“三公经费”</w:t>
            </w:r>
          </w:p>
          <w:p w14:paraId="5D432E3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noWrap w:val="0"/>
            <w:vAlign w:val="center"/>
          </w:tcPr>
          <w:p w14:paraId="0E7D9C2A">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14:paraId="503F4B82">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noWrap w:val="0"/>
            <w:vAlign w:val="center"/>
          </w:tcPr>
          <w:p w14:paraId="1C47944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noWrap w:val="0"/>
            <w:vAlign w:val="center"/>
          </w:tcPr>
          <w:p w14:paraId="5CE59714">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noWrap w:val="0"/>
            <w:vAlign w:val="center"/>
          </w:tcPr>
          <w:p w14:paraId="3E0939E1">
            <w:pPr>
              <w:widowControl/>
              <w:spacing w:line="240" w:lineRule="exact"/>
              <w:jc w:val="center"/>
              <w:rPr>
                <w:rFonts w:ascii="仿宋_GB2312" w:hAnsi="宋体" w:eastAsia="仿宋_GB2312" w:cs="宋体"/>
                <w:color w:val="000000"/>
                <w:kern w:val="0"/>
                <w:sz w:val="18"/>
                <w:szCs w:val="18"/>
              </w:rPr>
            </w:pPr>
          </w:p>
        </w:tc>
      </w:tr>
      <w:tr w14:paraId="325ADD95">
        <w:tblPrEx>
          <w:tblCellMar>
            <w:top w:w="0" w:type="dxa"/>
            <w:left w:w="108" w:type="dxa"/>
            <w:bottom w:w="0" w:type="dxa"/>
            <w:right w:w="108" w:type="dxa"/>
          </w:tblCellMar>
        </w:tblPrEx>
        <w:trPr>
          <w:trHeight w:val="1155"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1A0665FC">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noWrap w:val="0"/>
            <w:vAlign w:val="center"/>
          </w:tcPr>
          <w:p w14:paraId="63DE561B">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预算管理</w:t>
            </w:r>
          </w:p>
          <w:p w14:paraId="587DD98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noWrap w:val="0"/>
            <w:vAlign w:val="center"/>
          </w:tcPr>
          <w:p w14:paraId="35BA5B13">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14:paraId="4FB806C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noWrap w:val="0"/>
            <w:vAlign w:val="center"/>
          </w:tcPr>
          <w:p w14:paraId="6DD689D0">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①已制定或具有预算资金管理办法，内部财务管理制度、会计核算制度等管理制度，1分；</w:t>
            </w:r>
          </w:p>
          <w:p w14:paraId="6B54D24F">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②相关管理制度合法、合规、完整，1分；</w:t>
            </w:r>
          </w:p>
          <w:p w14:paraId="037A4755">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noWrap w:val="0"/>
            <w:vAlign w:val="center"/>
          </w:tcPr>
          <w:p w14:paraId="0C2A844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5655FDDA">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40792740">
            <w:pPr>
              <w:widowControl/>
              <w:spacing w:line="240" w:lineRule="exact"/>
              <w:jc w:val="center"/>
              <w:rPr>
                <w:rFonts w:ascii="仿宋_GB2312" w:hAnsi="宋体" w:eastAsia="仿宋_GB2312" w:cs="宋体"/>
                <w:color w:val="000000"/>
                <w:kern w:val="0"/>
                <w:sz w:val="18"/>
                <w:szCs w:val="18"/>
              </w:rPr>
            </w:pPr>
          </w:p>
        </w:tc>
      </w:tr>
      <w:tr w14:paraId="61AA8BC9">
        <w:tblPrEx>
          <w:tblCellMar>
            <w:top w:w="0" w:type="dxa"/>
            <w:left w:w="108" w:type="dxa"/>
            <w:bottom w:w="0" w:type="dxa"/>
            <w:right w:w="108" w:type="dxa"/>
          </w:tblCellMar>
        </w:tblPrEx>
        <w:trPr>
          <w:trHeight w:val="1697"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4339FE45">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19D2F3AB">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53093D4F">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资金使用</w:t>
            </w:r>
          </w:p>
          <w:p w14:paraId="1D90AB6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noWrap w:val="0"/>
            <w:vAlign w:val="center"/>
          </w:tcPr>
          <w:p w14:paraId="5661C645">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①支出符合国家财经法规和财务管理制度规定以及有关专项资金管理办法的规定；</w:t>
            </w:r>
          </w:p>
          <w:p w14:paraId="63C8F32D">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②资金拨付有完整的审批程序和手续；</w:t>
            </w:r>
          </w:p>
          <w:p w14:paraId="64A4EA26">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③项目支出按规定经过评估论证；</w:t>
            </w:r>
          </w:p>
          <w:p w14:paraId="5B8B8D16">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④支出符合部门预算批复的用途；</w:t>
            </w:r>
          </w:p>
          <w:p w14:paraId="6FC57B6E">
            <w:pPr>
              <w:widowControl/>
              <w:spacing w:line="240" w:lineRule="exact"/>
              <w:jc w:val="left"/>
              <w:rPr>
                <w:rFonts w:hint="eastAsia" w:ascii="仿宋_GB2312" w:hAnsi="宋体" w:eastAsia="仿宋_GB2312" w:cs="宋体"/>
                <w:spacing w:val="-6"/>
                <w:kern w:val="0"/>
                <w:sz w:val="18"/>
                <w:szCs w:val="18"/>
                <w:lang w:eastAsia="zh-CN"/>
              </w:rPr>
            </w:pPr>
            <w:r>
              <w:rPr>
                <w:rFonts w:hint="eastAsia" w:ascii="仿宋_GB2312" w:hAnsi="宋体" w:eastAsia="仿宋_GB2312" w:cs="宋体"/>
                <w:spacing w:val="-6"/>
                <w:kern w:val="0"/>
                <w:sz w:val="18"/>
                <w:szCs w:val="18"/>
              </w:rPr>
              <w:t>⑤资金使用无截留、挤占、挪用、虚列支出等情况。</w:t>
            </w:r>
          </w:p>
          <w:p w14:paraId="00F078FB">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noWrap w:val="0"/>
            <w:vAlign w:val="center"/>
          </w:tcPr>
          <w:p w14:paraId="2A04D09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noWrap w:val="0"/>
            <w:vAlign w:val="center"/>
          </w:tcPr>
          <w:p w14:paraId="420B91F8">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noWrap w:val="0"/>
            <w:vAlign w:val="center"/>
          </w:tcPr>
          <w:p w14:paraId="718A4568">
            <w:pPr>
              <w:widowControl/>
              <w:spacing w:line="240" w:lineRule="exact"/>
              <w:jc w:val="center"/>
              <w:rPr>
                <w:rFonts w:ascii="仿宋_GB2312" w:hAnsi="宋体" w:eastAsia="仿宋_GB2312" w:cs="宋体"/>
                <w:color w:val="000000"/>
                <w:kern w:val="0"/>
                <w:sz w:val="18"/>
                <w:szCs w:val="18"/>
              </w:rPr>
            </w:pPr>
          </w:p>
        </w:tc>
      </w:tr>
      <w:tr w14:paraId="2A3B906A">
        <w:tblPrEx>
          <w:tblCellMar>
            <w:top w:w="0" w:type="dxa"/>
            <w:left w:w="108" w:type="dxa"/>
            <w:bottom w:w="0" w:type="dxa"/>
            <w:right w:w="108" w:type="dxa"/>
          </w:tblCellMar>
        </w:tblPrEx>
        <w:trPr>
          <w:trHeight w:val="135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B9FD876">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A5D0D9B">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61E8226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noWrap w:val="0"/>
            <w:vAlign w:val="center"/>
          </w:tcPr>
          <w:p w14:paraId="0E3B65BB">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①按规定内容公开预决算信息，1分；</w:t>
            </w:r>
          </w:p>
          <w:p w14:paraId="2D94CF11">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②按规定时限公开预决算信息，0.5分；</w:t>
            </w:r>
          </w:p>
          <w:p w14:paraId="788B05EC">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③基础数据信息和会计信息资料真实，0.5分；</w:t>
            </w:r>
          </w:p>
          <w:p w14:paraId="1735E6D1">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④基础数据信息和会计信息资料完整，0.5分；</w:t>
            </w:r>
          </w:p>
          <w:p w14:paraId="19BFD1AA">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noWrap w:val="0"/>
            <w:vAlign w:val="center"/>
          </w:tcPr>
          <w:p w14:paraId="53AC80C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4B87D66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716CB459">
            <w:pPr>
              <w:widowControl/>
              <w:spacing w:line="240" w:lineRule="exact"/>
              <w:jc w:val="center"/>
              <w:rPr>
                <w:rFonts w:ascii="仿宋_GB2312" w:hAnsi="宋体" w:eastAsia="仿宋_GB2312" w:cs="宋体"/>
                <w:kern w:val="0"/>
                <w:sz w:val="18"/>
                <w:szCs w:val="18"/>
              </w:rPr>
            </w:pPr>
          </w:p>
        </w:tc>
      </w:tr>
      <w:tr w14:paraId="057D4D69">
        <w:tblPrEx>
          <w:tblCellMar>
            <w:top w:w="0" w:type="dxa"/>
            <w:left w:w="108" w:type="dxa"/>
            <w:bottom w:w="0" w:type="dxa"/>
            <w:right w:w="108" w:type="dxa"/>
          </w:tblCellMar>
        </w:tblPrEx>
        <w:trPr>
          <w:trHeight w:val="42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BBFBC5D">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14:paraId="38C6838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shd w:val="clear" w:color="auto" w:fill="auto"/>
            <w:noWrap w:val="0"/>
            <w:vAlign w:val="center"/>
          </w:tcPr>
          <w:p w14:paraId="2FC93302">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政府采购</w:t>
            </w:r>
          </w:p>
          <w:p w14:paraId="1694FE8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noWrap w:val="0"/>
            <w:vAlign w:val="center"/>
          </w:tcPr>
          <w:p w14:paraId="6A0D07F0">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政府采购执行率等于100%的，得3分；</w:t>
            </w:r>
          </w:p>
          <w:p w14:paraId="0CB364B0">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noWrap w:val="0"/>
            <w:vAlign w:val="center"/>
          </w:tcPr>
          <w:p w14:paraId="5BB5190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705EBE1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00D58FCC">
            <w:pPr>
              <w:widowControl/>
              <w:spacing w:line="240" w:lineRule="exact"/>
              <w:jc w:val="center"/>
              <w:rPr>
                <w:rFonts w:ascii="仿宋_GB2312" w:hAnsi="宋体" w:eastAsia="仿宋_GB2312" w:cs="宋体"/>
                <w:kern w:val="0"/>
                <w:sz w:val="18"/>
                <w:szCs w:val="18"/>
              </w:rPr>
            </w:pPr>
          </w:p>
        </w:tc>
      </w:tr>
      <w:tr w14:paraId="7C347320">
        <w:tblPrEx>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6D7B4B2">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A163359">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70470B9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noWrap w:val="0"/>
            <w:vAlign w:val="center"/>
          </w:tcPr>
          <w:p w14:paraId="2CF1CCC7">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公务卡刷卡率达50％以上的，得3分。</w:t>
            </w:r>
          </w:p>
          <w:p w14:paraId="77F75CED">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noWrap w:val="0"/>
            <w:vAlign w:val="center"/>
          </w:tcPr>
          <w:p w14:paraId="293CD7D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3F4EF2B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5B62927D">
            <w:pPr>
              <w:widowControl/>
              <w:spacing w:line="240" w:lineRule="exact"/>
              <w:jc w:val="center"/>
              <w:rPr>
                <w:rFonts w:ascii="仿宋_GB2312" w:hAnsi="宋体" w:eastAsia="仿宋_GB2312" w:cs="宋体"/>
                <w:kern w:val="0"/>
                <w:sz w:val="18"/>
                <w:szCs w:val="18"/>
              </w:rPr>
            </w:pPr>
          </w:p>
        </w:tc>
      </w:tr>
      <w:tr w14:paraId="62A173EE">
        <w:tblPrEx>
          <w:tblCellMar>
            <w:top w:w="0" w:type="dxa"/>
            <w:left w:w="108" w:type="dxa"/>
            <w:bottom w:w="0" w:type="dxa"/>
            <w:right w:w="108" w:type="dxa"/>
          </w:tblCellMar>
        </w:tblPrEx>
        <w:trPr>
          <w:trHeight w:val="73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6FAB1C3">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noWrap w:val="0"/>
            <w:vAlign w:val="center"/>
          </w:tcPr>
          <w:p w14:paraId="7218AC9B">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14:paraId="24AF646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noWrap w:val="0"/>
            <w:vAlign w:val="center"/>
          </w:tcPr>
          <w:p w14:paraId="5353B20B">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管理制度</w:t>
            </w:r>
          </w:p>
          <w:p w14:paraId="121B685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noWrap w:val="0"/>
            <w:vAlign w:val="center"/>
          </w:tcPr>
          <w:p w14:paraId="436438E7">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①已制定或具有资产管理制度，且相关资产管理制度合法、合规、完整，2分；</w:t>
            </w:r>
          </w:p>
          <w:p w14:paraId="1FDED42C">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noWrap w:val="0"/>
            <w:vAlign w:val="center"/>
          </w:tcPr>
          <w:p w14:paraId="546AD8E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021C015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000CBBB0">
            <w:pPr>
              <w:widowControl/>
              <w:spacing w:line="240" w:lineRule="exact"/>
              <w:jc w:val="center"/>
              <w:rPr>
                <w:rFonts w:ascii="仿宋_GB2312" w:hAnsi="宋体" w:eastAsia="仿宋_GB2312" w:cs="宋体"/>
                <w:kern w:val="0"/>
                <w:sz w:val="18"/>
                <w:szCs w:val="18"/>
              </w:rPr>
            </w:pPr>
          </w:p>
        </w:tc>
      </w:tr>
    </w:tbl>
    <w:p w14:paraId="31B810A9"/>
    <w:tbl>
      <w:tblPr>
        <w:tblStyle w:val="4"/>
        <w:tblW w:w="0" w:type="auto"/>
        <w:jc w:val="center"/>
        <w:tblLayout w:type="fixed"/>
        <w:tblCellMar>
          <w:top w:w="0" w:type="dxa"/>
          <w:left w:w="108" w:type="dxa"/>
          <w:bottom w:w="0" w:type="dxa"/>
          <w:right w:w="108" w:type="dxa"/>
        </w:tblCellMar>
      </w:tblPr>
      <w:tblGrid>
        <w:gridCol w:w="976"/>
        <w:gridCol w:w="939"/>
        <w:gridCol w:w="1389"/>
        <w:gridCol w:w="4171"/>
        <w:gridCol w:w="619"/>
        <w:gridCol w:w="720"/>
        <w:gridCol w:w="1080"/>
      </w:tblGrid>
      <w:tr w14:paraId="6DE0B2F6">
        <w:tblPrEx>
          <w:tblCellMar>
            <w:top w:w="0" w:type="dxa"/>
            <w:left w:w="108" w:type="dxa"/>
            <w:bottom w:w="0" w:type="dxa"/>
            <w:right w:w="108" w:type="dxa"/>
          </w:tblCellMar>
        </w:tblPrEx>
        <w:trPr>
          <w:trHeight w:val="609"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04F3962">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C96C77A">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14:paraId="4640A8E4">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14:paraId="7A4EDB01">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14:paraId="4A18433F">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14:paraId="4C6727D0">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5A13D9AA">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14:paraId="09E4B10B">
        <w:tblPrEx>
          <w:tblCellMar>
            <w:top w:w="0" w:type="dxa"/>
            <w:left w:w="108" w:type="dxa"/>
            <w:bottom w:w="0" w:type="dxa"/>
            <w:right w:w="108" w:type="dxa"/>
          </w:tblCellMar>
        </w:tblPrEx>
        <w:trPr>
          <w:trHeight w:val="2011" w:hRule="atLeast"/>
          <w:jc w:val="center"/>
        </w:trPr>
        <w:tc>
          <w:tcPr>
            <w:tcW w:w="97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FCE27E0">
            <w:pPr>
              <w:widowControl/>
              <w:spacing w:line="240" w:lineRule="exact"/>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过  程</w:t>
            </w:r>
          </w:p>
          <w:p w14:paraId="6261D97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8889806">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14:paraId="65F3946E">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single" w:color="auto" w:sz="4" w:space="0"/>
              <w:left w:val="nil"/>
              <w:bottom w:val="single" w:color="auto" w:sz="4" w:space="0"/>
              <w:right w:val="single" w:color="auto" w:sz="4" w:space="0"/>
            </w:tcBorders>
            <w:shd w:val="clear" w:color="auto" w:fill="auto"/>
            <w:noWrap w:val="0"/>
            <w:vAlign w:val="center"/>
          </w:tcPr>
          <w:p w14:paraId="3CA16A1C">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资产管理</w:t>
            </w:r>
          </w:p>
          <w:p w14:paraId="6923DA9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71" w:type="dxa"/>
            <w:tcBorders>
              <w:top w:val="single" w:color="auto" w:sz="4" w:space="0"/>
              <w:left w:val="nil"/>
              <w:bottom w:val="single" w:color="auto" w:sz="4" w:space="0"/>
              <w:right w:val="single" w:color="auto" w:sz="4" w:space="0"/>
            </w:tcBorders>
            <w:shd w:val="clear" w:color="auto" w:fill="auto"/>
            <w:noWrap w:val="0"/>
            <w:vAlign w:val="center"/>
          </w:tcPr>
          <w:p w14:paraId="0D4A4088">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①资产保存完整；</w:t>
            </w:r>
          </w:p>
          <w:p w14:paraId="2C11F7EE">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②资产配置合理；</w:t>
            </w:r>
          </w:p>
          <w:p w14:paraId="6DBD667E">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 xml:space="preserve">③资产处置规范； </w:t>
            </w:r>
          </w:p>
          <w:p w14:paraId="18344E6C">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④资产账务管理合规，帐实相符；</w:t>
            </w:r>
          </w:p>
          <w:p w14:paraId="234EA855">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⑤资产有偿使用及处置收入及时足额上缴；</w:t>
            </w:r>
          </w:p>
          <w:p w14:paraId="01400EE8">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19" w:type="dxa"/>
            <w:tcBorders>
              <w:top w:val="single" w:color="auto" w:sz="4" w:space="0"/>
              <w:left w:val="nil"/>
              <w:bottom w:val="single" w:color="auto" w:sz="4" w:space="0"/>
              <w:right w:val="single" w:color="auto" w:sz="4" w:space="0"/>
            </w:tcBorders>
            <w:shd w:val="clear" w:color="auto" w:fill="auto"/>
            <w:noWrap w:val="0"/>
            <w:vAlign w:val="center"/>
          </w:tcPr>
          <w:p w14:paraId="5CFBBBE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single" w:color="auto" w:sz="4" w:space="0"/>
              <w:left w:val="nil"/>
              <w:bottom w:val="single" w:color="auto" w:sz="4" w:space="0"/>
              <w:right w:val="single" w:color="auto" w:sz="4" w:space="0"/>
            </w:tcBorders>
            <w:shd w:val="clear" w:color="auto" w:fill="FFFFFF"/>
            <w:noWrap w:val="0"/>
            <w:vAlign w:val="center"/>
          </w:tcPr>
          <w:p w14:paraId="7BD42DA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single" w:color="auto" w:sz="4" w:space="0"/>
              <w:left w:val="nil"/>
              <w:bottom w:val="single" w:color="auto" w:sz="4" w:space="0"/>
              <w:right w:val="single" w:color="auto" w:sz="4" w:space="0"/>
            </w:tcBorders>
            <w:shd w:val="clear" w:color="auto" w:fill="FFFFFF"/>
            <w:noWrap w:val="0"/>
            <w:vAlign w:val="center"/>
          </w:tcPr>
          <w:p w14:paraId="139E78FF">
            <w:pPr>
              <w:widowControl/>
              <w:spacing w:line="240" w:lineRule="exact"/>
              <w:jc w:val="center"/>
              <w:rPr>
                <w:rFonts w:ascii="仿宋_GB2312" w:hAnsi="宋体" w:eastAsia="仿宋_GB2312" w:cs="宋体"/>
                <w:kern w:val="0"/>
                <w:sz w:val="18"/>
                <w:szCs w:val="18"/>
              </w:rPr>
            </w:pPr>
          </w:p>
        </w:tc>
      </w:tr>
      <w:tr w14:paraId="7977CC1B">
        <w:tblPrEx>
          <w:tblCellMar>
            <w:top w:w="0" w:type="dxa"/>
            <w:left w:w="108" w:type="dxa"/>
            <w:bottom w:w="0" w:type="dxa"/>
            <w:right w:w="108" w:type="dxa"/>
          </w:tblCellMar>
        </w:tblPrEx>
        <w:trPr>
          <w:trHeight w:val="774"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C398E8C">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E19F16B">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763975F7">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固定资产</w:t>
            </w:r>
          </w:p>
          <w:p w14:paraId="2594839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71" w:type="dxa"/>
            <w:tcBorders>
              <w:top w:val="nil"/>
              <w:left w:val="nil"/>
              <w:bottom w:val="single" w:color="auto" w:sz="4" w:space="0"/>
              <w:right w:val="single" w:color="auto" w:sz="4" w:space="0"/>
            </w:tcBorders>
            <w:shd w:val="clear" w:color="auto" w:fill="auto"/>
            <w:noWrap w:val="0"/>
            <w:vAlign w:val="center"/>
          </w:tcPr>
          <w:p w14:paraId="78397ED9">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19" w:type="dxa"/>
            <w:tcBorders>
              <w:top w:val="nil"/>
              <w:left w:val="nil"/>
              <w:bottom w:val="single" w:color="auto" w:sz="4" w:space="0"/>
              <w:right w:val="single" w:color="auto" w:sz="4" w:space="0"/>
            </w:tcBorders>
            <w:shd w:val="clear" w:color="auto" w:fill="auto"/>
            <w:noWrap w:val="0"/>
            <w:vAlign w:val="center"/>
          </w:tcPr>
          <w:p w14:paraId="59573D2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noWrap w:val="0"/>
            <w:vAlign w:val="center"/>
          </w:tcPr>
          <w:p w14:paraId="489D9B6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noWrap w:val="0"/>
            <w:vAlign w:val="center"/>
          </w:tcPr>
          <w:p w14:paraId="47CE769E">
            <w:pPr>
              <w:widowControl/>
              <w:spacing w:line="240" w:lineRule="exact"/>
              <w:jc w:val="center"/>
              <w:rPr>
                <w:rFonts w:ascii="仿宋_GB2312" w:hAnsi="宋体" w:eastAsia="仿宋_GB2312" w:cs="宋体"/>
                <w:kern w:val="0"/>
                <w:sz w:val="18"/>
                <w:szCs w:val="18"/>
              </w:rPr>
            </w:pPr>
          </w:p>
        </w:tc>
      </w:tr>
      <w:tr w14:paraId="7F59BEEF">
        <w:tblPrEx>
          <w:tblCellMar>
            <w:top w:w="0" w:type="dxa"/>
            <w:left w:w="108" w:type="dxa"/>
            <w:bottom w:w="0" w:type="dxa"/>
            <w:right w:w="108" w:type="dxa"/>
          </w:tblCellMar>
        </w:tblPrEx>
        <w:trPr>
          <w:trHeight w:val="9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14:paraId="008EB08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14:paraId="5AE6222B">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职责履行</w:t>
            </w:r>
          </w:p>
          <w:p w14:paraId="5BF89064">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89" w:type="dxa"/>
            <w:tcBorders>
              <w:top w:val="nil"/>
              <w:left w:val="nil"/>
              <w:bottom w:val="single" w:color="auto" w:sz="4" w:space="0"/>
              <w:right w:val="single" w:color="auto" w:sz="4" w:space="0"/>
            </w:tcBorders>
            <w:shd w:val="clear" w:color="auto" w:fill="auto"/>
            <w:noWrap w:val="0"/>
            <w:vAlign w:val="center"/>
          </w:tcPr>
          <w:p w14:paraId="095E43E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推进全面小康建设指标任务完成情况</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14:paraId="30E6012A">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此项指标根据《中共岳阳市云溪区委 岳阳市云溪区人民政府 关于做好岳阳市云溪区2020年度综合绩效考核工作的通知》（岳云发〔2020〕7号）考核内容设置。</w:t>
            </w:r>
          </w:p>
          <w:p w14:paraId="2746A038">
            <w:pPr>
              <w:widowControl/>
              <w:spacing w:line="24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部门单位应根据部门实际进行调整，并将其细化成相应的个性化指标</w:t>
            </w:r>
          </w:p>
          <w:p w14:paraId="3B408B0C">
            <w:pPr>
              <w:widowControl/>
              <w:spacing w:line="240" w:lineRule="exact"/>
              <w:jc w:val="left"/>
              <w:rPr>
                <w:rFonts w:hint="eastAsia" w:ascii="仿宋_GB2312" w:hAnsi="宋体" w:eastAsia="仿宋_GB2312" w:cs="宋体"/>
                <w:kern w:val="0"/>
                <w:sz w:val="18"/>
                <w:szCs w:val="18"/>
                <w:lang w:eastAsia="zh-CN"/>
              </w:rPr>
            </w:pPr>
          </w:p>
        </w:tc>
        <w:tc>
          <w:tcPr>
            <w:tcW w:w="619" w:type="dxa"/>
            <w:tcBorders>
              <w:top w:val="nil"/>
              <w:left w:val="nil"/>
              <w:bottom w:val="single" w:color="auto" w:sz="4" w:space="0"/>
              <w:right w:val="single" w:color="auto" w:sz="4" w:space="0"/>
            </w:tcBorders>
            <w:shd w:val="clear" w:color="auto" w:fill="auto"/>
            <w:noWrap w:val="0"/>
            <w:vAlign w:val="center"/>
          </w:tcPr>
          <w:p w14:paraId="7EBADBE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14:paraId="056B6FAB">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044E57CB">
            <w:pPr>
              <w:widowControl/>
              <w:spacing w:line="240" w:lineRule="exact"/>
              <w:jc w:val="center"/>
              <w:rPr>
                <w:rFonts w:ascii="仿宋_GB2312" w:hAnsi="宋体" w:eastAsia="仿宋_GB2312" w:cs="宋体"/>
                <w:kern w:val="0"/>
                <w:sz w:val="18"/>
                <w:szCs w:val="18"/>
              </w:rPr>
            </w:pPr>
          </w:p>
        </w:tc>
      </w:tr>
      <w:tr w14:paraId="4E8EBD4B">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9A85CA2">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8AFB7C4">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6A1C529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建设湖南新增极目标任务完成情况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B81E816">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7DFBF22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720" w:type="dxa"/>
            <w:tcBorders>
              <w:top w:val="nil"/>
              <w:left w:val="nil"/>
              <w:bottom w:val="single" w:color="auto" w:sz="4" w:space="0"/>
              <w:right w:val="single" w:color="auto" w:sz="4" w:space="0"/>
            </w:tcBorders>
            <w:shd w:val="clear" w:color="auto" w:fill="FFFFFF"/>
            <w:noWrap w:val="0"/>
            <w:vAlign w:val="center"/>
          </w:tcPr>
          <w:p w14:paraId="548C8EC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w:t>
            </w:r>
          </w:p>
        </w:tc>
        <w:tc>
          <w:tcPr>
            <w:tcW w:w="1080" w:type="dxa"/>
            <w:tcBorders>
              <w:top w:val="nil"/>
              <w:left w:val="nil"/>
              <w:bottom w:val="single" w:color="auto" w:sz="4" w:space="0"/>
              <w:right w:val="single" w:color="auto" w:sz="4" w:space="0"/>
            </w:tcBorders>
            <w:shd w:val="clear" w:color="auto" w:fill="FFFFFF"/>
            <w:noWrap w:val="0"/>
            <w:vAlign w:val="center"/>
          </w:tcPr>
          <w:p w14:paraId="7F31303F">
            <w:pPr>
              <w:widowControl/>
              <w:spacing w:line="240" w:lineRule="exact"/>
              <w:jc w:val="center"/>
              <w:rPr>
                <w:rFonts w:ascii="仿宋_GB2312" w:hAnsi="宋体" w:eastAsia="仿宋_GB2312" w:cs="宋体"/>
                <w:kern w:val="0"/>
                <w:sz w:val="18"/>
                <w:szCs w:val="18"/>
              </w:rPr>
            </w:pPr>
          </w:p>
        </w:tc>
      </w:tr>
      <w:tr w14:paraId="0195254D">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F7437AB">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183D1C5">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31133C1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FE14B7D">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36E1FFB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shd w:val="clear" w:color="auto" w:fill="FFFFFF"/>
            <w:noWrap w:val="0"/>
            <w:vAlign w:val="center"/>
          </w:tcPr>
          <w:p w14:paraId="5ECEE8A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3D16802B">
            <w:pPr>
              <w:widowControl/>
              <w:spacing w:line="240" w:lineRule="exact"/>
              <w:jc w:val="center"/>
              <w:rPr>
                <w:rFonts w:ascii="仿宋_GB2312" w:hAnsi="宋体" w:eastAsia="仿宋_GB2312" w:cs="宋体"/>
                <w:kern w:val="0"/>
                <w:sz w:val="18"/>
                <w:szCs w:val="18"/>
              </w:rPr>
            </w:pPr>
          </w:p>
        </w:tc>
      </w:tr>
      <w:tr w14:paraId="285C7AF1">
        <w:tblPrEx>
          <w:tblCellMar>
            <w:top w:w="0" w:type="dxa"/>
            <w:left w:w="108" w:type="dxa"/>
            <w:bottom w:w="0" w:type="dxa"/>
            <w:right w:w="108" w:type="dxa"/>
          </w:tblCellMar>
        </w:tblPrEx>
        <w:trPr>
          <w:trHeight w:val="68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37D6345">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6BFE33B">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316880E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3294E473">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25250490">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14:paraId="72DD414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14:paraId="33DF755F">
            <w:pPr>
              <w:widowControl/>
              <w:spacing w:line="240" w:lineRule="exact"/>
              <w:jc w:val="center"/>
              <w:rPr>
                <w:rFonts w:ascii="仿宋_GB2312" w:hAnsi="宋体" w:eastAsia="仿宋_GB2312" w:cs="宋体"/>
                <w:kern w:val="0"/>
                <w:sz w:val="18"/>
                <w:szCs w:val="18"/>
              </w:rPr>
            </w:pPr>
          </w:p>
        </w:tc>
      </w:tr>
      <w:tr w14:paraId="3D196011">
        <w:tblPrEx>
          <w:tblCellMar>
            <w:top w:w="0" w:type="dxa"/>
            <w:left w:w="108" w:type="dxa"/>
            <w:bottom w:w="0" w:type="dxa"/>
            <w:right w:w="108" w:type="dxa"/>
          </w:tblCellMar>
        </w:tblPrEx>
        <w:trPr>
          <w:trHeight w:val="9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5A5A17B9">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C9FAF22">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001B2B2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5AEAEF8">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0E71035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720" w:type="dxa"/>
            <w:tcBorders>
              <w:top w:val="nil"/>
              <w:left w:val="nil"/>
              <w:bottom w:val="single" w:color="auto" w:sz="4" w:space="0"/>
              <w:right w:val="single" w:color="auto" w:sz="4" w:space="0"/>
            </w:tcBorders>
            <w:shd w:val="clear" w:color="auto" w:fill="FFFFFF"/>
            <w:noWrap w:val="0"/>
            <w:vAlign w:val="center"/>
          </w:tcPr>
          <w:p w14:paraId="483C596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080" w:type="dxa"/>
            <w:tcBorders>
              <w:top w:val="nil"/>
              <w:left w:val="nil"/>
              <w:bottom w:val="single" w:color="auto" w:sz="4" w:space="0"/>
              <w:right w:val="single" w:color="auto" w:sz="4" w:space="0"/>
            </w:tcBorders>
            <w:shd w:val="clear" w:color="auto" w:fill="FFFFFF"/>
            <w:noWrap w:val="0"/>
            <w:vAlign w:val="center"/>
          </w:tcPr>
          <w:p w14:paraId="3587BBDD">
            <w:pPr>
              <w:widowControl/>
              <w:spacing w:line="240" w:lineRule="exact"/>
              <w:jc w:val="center"/>
              <w:rPr>
                <w:rFonts w:ascii="仿宋_GB2312" w:hAnsi="宋体" w:eastAsia="仿宋_GB2312" w:cs="宋体"/>
                <w:kern w:val="0"/>
                <w:sz w:val="18"/>
                <w:szCs w:val="18"/>
              </w:rPr>
            </w:pPr>
          </w:p>
        </w:tc>
      </w:tr>
      <w:tr w14:paraId="2F75D9D9">
        <w:tblPrEx>
          <w:tblCellMar>
            <w:top w:w="0" w:type="dxa"/>
            <w:left w:w="108" w:type="dxa"/>
            <w:bottom w:w="0" w:type="dxa"/>
            <w:right w:w="108" w:type="dxa"/>
          </w:tblCellMar>
        </w:tblPrEx>
        <w:trPr>
          <w:trHeight w:val="8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6BEB3478">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BEE0A36">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771CD1C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78504B7E">
            <w:pPr>
              <w:widowControl/>
              <w:spacing w:line="240" w:lineRule="exact"/>
              <w:jc w:val="left"/>
              <w:rPr>
                <w:rFonts w:ascii="仿宋_GB2312" w:hAnsi="宋体" w:eastAsia="仿宋_GB2312" w:cs="宋体"/>
                <w:kern w:val="0"/>
                <w:sz w:val="18"/>
                <w:szCs w:val="18"/>
              </w:rPr>
            </w:pPr>
          </w:p>
        </w:tc>
        <w:tc>
          <w:tcPr>
            <w:tcW w:w="619" w:type="dxa"/>
            <w:tcBorders>
              <w:top w:val="nil"/>
              <w:left w:val="nil"/>
              <w:bottom w:val="single" w:color="auto" w:sz="4" w:space="0"/>
              <w:right w:val="single" w:color="auto" w:sz="4" w:space="0"/>
            </w:tcBorders>
            <w:shd w:val="clear" w:color="auto" w:fill="auto"/>
            <w:noWrap w:val="0"/>
            <w:vAlign w:val="center"/>
          </w:tcPr>
          <w:p w14:paraId="4282BFA6">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0" w:type="dxa"/>
            <w:tcBorders>
              <w:top w:val="nil"/>
              <w:left w:val="nil"/>
              <w:bottom w:val="single" w:color="auto" w:sz="4" w:space="0"/>
              <w:right w:val="single" w:color="auto" w:sz="4" w:space="0"/>
            </w:tcBorders>
            <w:shd w:val="clear" w:color="auto" w:fill="FFFFFF"/>
            <w:noWrap w:val="0"/>
            <w:vAlign w:val="center"/>
          </w:tcPr>
          <w:p w14:paraId="5874221D">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0" w:type="dxa"/>
            <w:tcBorders>
              <w:top w:val="nil"/>
              <w:left w:val="nil"/>
              <w:bottom w:val="single" w:color="auto" w:sz="4" w:space="0"/>
              <w:right w:val="single" w:color="auto" w:sz="4" w:space="0"/>
            </w:tcBorders>
            <w:shd w:val="clear" w:color="auto" w:fill="FFFFFF"/>
            <w:noWrap w:val="0"/>
            <w:vAlign w:val="center"/>
          </w:tcPr>
          <w:p w14:paraId="35A1AE66">
            <w:pPr>
              <w:widowControl/>
              <w:spacing w:line="240" w:lineRule="exact"/>
              <w:jc w:val="center"/>
              <w:rPr>
                <w:rFonts w:ascii="仿宋_GB2312" w:hAnsi="宋体" w:eastAsia="仿宋_GB2312" w:cs="宋体"/>
                <w:kern w:val="0"/>
                <w:sz w:val="18"/>
                <w:szCs w:val="18"/>
              </w:rPr>
            </w:pPr>
          </w:p>
        </w:tc>
      </w:tr>
      <w:tr w14:paraId="7D82E5EF">
        <w:tblPrEx>
          <w:tblCellMar>
            <w:top w:w="0" w:type="dxa"/>
            <w:left w:w="108" w:type="dxa"/>
            <w:bottom w:w="0" w:type="dxa"/>
            <w:right w:w="108" w:type="dxa"/>
          </w:tblCellMar>
        </w:tblPrEx>
        <w:trPr>
          <w:trHeight w:val="600" w:hRule="atLeast"/>
          <w:jc w:val="center"/>
        </w:trPr>
        <w:tc>
          <w:tcPr>
            <w:tcW w:w="976" w:type="dxa"/>
            <w:vMerge w:val="restart"/>
            <w:tcBorders>
              <w:top w:val="nil"/>
              <w:left w:val="single" w:color="auto" w:sz="4" w:space="0"/>
              <w:bottom w:val="single" w:color="auto" w:sz="4" w:space="0"/>
              <w:right w:val="single" w:color="auto" w:sz="4" w:space="0"/>
            </w:tcBorders>
            <w:shd w:val="clear" w:color="auto" w:fill="auto"/>
            <w:noWrap w:val="0"/>
            <w:vAlign w:val="center"/>
          </w:tcPr>
          <w:p w14:paraId="2289157F">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效  果</w:t>
            </w:r>
          </w:p>
          <w:p w14:paraId="70E90BA2">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39" w:type="dxa"/>
            <w:vMerge w:val="restart"/>
            <w:tcBorders>
              <w:top w:val="nil"/>
              <w:left w:val="single" w:color="auto" w:sz="4" w:space="0"/>
              <w:bottom w:val="single" w:color="auto" w:sz="4" w:space="0"/>
              <w:right w:val="single" w:color="auto" w:sz="4" w:space="0"/>
            </w:tcBorders>
            <w:shd w:val="clear" w:color="auto" w:fill="auto"/>
            <w:noWrap w:val="0"/>
            <w:vAlign w:val="center"/>
          </w:tcPr>
          <w:p w14:paraId="26E6667C">
            <w:pPr>
              <w:widowControl/>
              <w:spacing w:line="24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rPr>
              <w:t>履职效益</w:t>
            </w:r>
          </w:p>
          <w:p w14:paraId="588880AA">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89" w:type="dxa"/>
            <w:tcBorders>
              <w:top w:val="nil"/>
              <w:left w:val="nil"/>
              <w:bottom w:val="single" w:color="auto" w:sz="4" w:space="0"/>
              <w:right w:val="single" w:color="auto" w:sz="4" w:space="0"/>
            </w:tcBorders>
            <w:shd w:val="clear" w:color="auto" w:fill="auto"/>
            <w:noWrap w:val="0"/>
            <w:vAlign w:val="center"/>
          </w:tcPr>
          <w:p w14:paraId="5884BF7F">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71" w:type="dxa"/>
            <w:vMerge w:val="restart"/>
            <w:tcBorders>
              <w:top w:val="nil"/>
              <w:left w:val="single" w:color="auto" w:sz="4" w:space="0"/>
              <w:bottom w:val="single" w:color="auto" w:sz="4" w:space="0"/>
              <w:right w:val="single" w:color="auto" w:sz="4" w:space="0"/>
            </w:tcBorders>
            <w:shd w:val="clear" w:color="auto" w:fill="auto"/>
            <w:noWrap w:val="0"/>
            <w:vAlign w:val="center"/>
          </w:tcPr>
          <w:p w14:paraId="5BEBF2CF">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14:paraId="5E9E6FB8">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19" w:type="dxa"/>
            <w:vMerge w:val="restart"/>
            <w:tcBorders>
              <w:top w:val="nil"/>
              <w:left w:val="single" w:color="auto" w:sz="4" w:space="0"/>
              <w:bottom w:val="single" w:color="auto" w:sz="4" w:space="0"/>
              <w:right w:val="single" w:color="auto" w:sz="4" w:space="0"/>
            </w:tcBorders>
            <w:shd w:val="clear" w:color="auto" w:fill="auto"/>
            <w:noWrap w:val="0"/>
            <w:vAlign w:val="center"/>
          </w:tcPr>
          <w:p w14:paraId="194A9F1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0" w:type="dxa"/>
            <w:tcBorders>
              <w:top w:val="nil"/>
              <w:left w:val="nil"/>
              <w:bottom w:val="single" w:color="auto" w:sz="4" w:space="0"/>
              <w:right w:val="single" w:color="auto" w:sz="4" w:space="0"/>
            </w:tcBorders>
            <w:shd w:val="clear" w:color="auto" w:fill="FFFFFF"/>
            <w:noWrap w:val="0"/>
            <w:vAlign w:val="center"/>
          </w:tcPr>
          <w:p w14:paraId="22687D17">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4DB072E7">
            <w:pPr>
              <w:widowControl/>
              <w:spacing w:line="240" w:lineRule="exact"/>
              <w:jc w:val="center"/>
              <w:rPr>
                <w:rFonts w:ascii="仿宋_GB2312" w:hAnsi="宋体" w:eastAsia="仿宋_GB2312" w:cs="宋体"/>
                <w:kern w:val="0"/>
                <w:sz w:val="18"/>
                <w:szCs w:val="18"/>
              </w:rPr>
            </w:pPr>
          </w:p>
        </w:tc>
      </w:tr>
      <w:tr w14:paraId="17A9C426">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EBA6C2E">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A73748F">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6CD2D251">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B289BC2">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01506066">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14:paraId="5BBABDBE">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6269F438">
            <w:pPr>
              <w:widowControl/>
              <w:spacing w:line="240" w:lineRule="exact"/>
              <w:jc w:val="center"/>
              <w:rPr>
                <w:rFonts w:ascii="仿宋_GB2312" w:hAnsi="宋体" w:eastAsia="仿宋_GB2312" w:cs="宋体"/>
                <w:kern w:val="0"/>
                <w:sz w:val="18"/>
                <w:szCs w:val="18"/>
              </w:rPr>
            </w:pPr>
          </w:p>
        </w:tc>
      </w:tr>
      <w:tr w14:paraId="46D44F77">
        <w:tblPrEx>
          <w:tblCellMar>
            <w:top w:w="0" w:type="dxa"/>
            <w:left w:w="108" w:type="dxa"/>
            <w:bottom w:w="0" w:type="dxa"/>
            <w:right w:w="108" w:type="dxa"/>
          </w:tblCellMar>
        </w:tblPrEx>
        <w:trPr>
          <w:trHeight w:val="60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03B8C1C">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141E6E38">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noWrap w:val="0"/>
            <w:vAlign w:val="center"/>
          </w:tcPr>
          <w:p w14:paraId="79572E49">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71" w:type="dxa"/>
            <w:vMerge w:val="continue"/>
            <w:tcBorders>
              <w:top w:val="nil"/>
              <w:left w:val="single" w:color="auto" w:sz="4" w:space="0"/>
              <w:bottom w:val="single" w:color="auto" w:sz="4" w:space="0"/>
              <w:right w:val="single" w:color="auto" w:sz="4" w:space="0"/>
            </w:tcBorders>
            <w:shd w:val="clear" w:color="auto" w:fill="auto"/>
            <w:noWrap w:val="0"/>
            <w:vAlign w:val="center"/>
          </w:tcPr>
          <w:p w14:paraId="21B716B2">
            <w:pPr>
              <w:widowControl/>
              <w:spacing w:line="240" w:lineRule="exact"/>
              <w:jc w:val="left"/>
              <w:rPr>
                <w:rFonts w:ascii="仿宋_GB2312" w:hAnsi="宋体" w:eastAsia="仿宋_GB2312" w:cs="宋体"/>
                <w:kern w:val="0"/>
                <w:sz w:val="18"/>
                <w:szCs w:val="18"/>
              </w:rPr>
            </w:pPr>
          </w:p>
        </w:tc>
        <w:tc>
          <w:tcPr>
            <w:tcW w:w="619" w:type="dxa"/>
            <w:vMerge w:val="continue"/>
            <w:tcBorders>
              <w:top w:val="nil"/>
              <w:left w:val="single" w:color="auto" w:sz="4" w:space="0"/>
              <w:bottom w:val="single" w:color="auto" w:sz="4" w:space="0"/>
              <w:right w:val="single" w:color="auto" w:sz="4" w:space="0"/>
            </w:tcBorders>
            <w:shd w:val="clear" w:color="auto" w:fill="auto"/>
            <w:noWrap w:val="0"/>
            <w:vAlign w:val="center"/>
          </w:tcPr>
          <w:p w14:paraId="4D9FC5E3">
            <w:pPr>
              <w:widowControl/>
              <w:spacing w:line="240" w:lineRule="exact"/>
              <w:jc w:val="left"/>
              <w:rPr>
                <w:rFonts w:ascii="仿宋_GB2312" w:hAnsi="宋体" w:eastAsia="仿宋_GB2312" w:cs="宋体"/>
                <w:kern w:val="0"/>
                <w:sz w:val="18"/>
                <w:szCs w:val="18"/>
              </w:rPr>
            </w:pPr>
          </w:p>
        </w:tc>
        <w:tc>
          <w:tcPr>
            <w:tcW w:w="720" w:type="dxa"/>
            <w:tcBorders>
              <w:top w:val="nil"/>
              <w:left w:val="nil"/>
              <w:bottom w:val="single" w:color="auto" w:sz="4" w:space="0"/>
              <w:right w:val="single" w:color="auto" w:sz="4" w:space="0"/>
            </w:tcBorders>
            <w:shd w:val="clear" w:color="auto" w:fill="FFFFFF"/>
            <w:noWrap w:val="0"/>
            <w:vAlign w:val="center"/>
          </w:tcPr>
          <w:p w14:paraId="22298025">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0" w:type="dxa"/>
            <w:tcBorders>
              <w:top w:val="nil"/>
              <w:left w:val="nil"/>
              <w:bottom w:val="single" w:color="auto" w:sz="4" w:space="0"/>
              <w:right w:val="single" w:color="auto" w:sz="4" w:space="0"/>
            </w:tcBorders>
            <w:shd w:val="clear" w:color="auto" w:fill="FFFFFF"/>
            <w:noWrap w:val="0"/>
            <w:vAlign w:val="center"/>
          </w:tcPr>
          <w:p w14:paraId="72FE0535">
            <w:pPr>
              <w:widowControl/>
              <w:spacing w:line="240" w:lineRule="exact"/>
              <w:jc w:val="center"/>
              <w:rPr>
                <w:rFonts w:ascii="仿宋_GB2312" w:hAnsi="宋体" w:eastAsia="仿宋_GB2312" w:cs="宋体"/>
                <w:kern w:val="0"/>
                <w:sz w:val="18"/>
                <w:szCs w:val="18"/>
              </w:rPr>
            </w:pPr>
          </w:p>
        </w:tc>
      </w:tr>
      <w:tr w14:paraId="15EB8F73">
        <w:tblPrEx>
          <w:tblCellMar>
            <w:top w:w="0" w:type="dxa"/>
            <w:left w:w="108" w:type="dxa"/>
            <w:bottom w:w="0" w:type="dxa"/>
            <w:right w:w="108" w:type="dxa"/>
          </w:tblCellMar>
        </w:tblPrEx>
        <w:trPr>
          <w:trHeight w:val="1113" w:hRule="atLeast"/>
          <w:jc w:val="center"/>
        </w:trPr>
        <w:tc>
          <w:tcPr>
            <w:tcW w:w="976" w:type="dxa"/>
            <w:vMerge w:val="continue"/>
            <w:tcBorders>
              <w:top w:val="nil"/>
              <w:left w:val="single" w:color="auto" w:sz="4" w:space="0"/>
              <w:bottom w:val="single" w:color="auto" w:sz="4" w:space="0"/>
              <w:right w:val="single" w:color="auto" w:sz="4" w:space="0"/>
            </w:tcBorders>
            <w:noWrap w:val="0"/>
            <w:vAlign w:val="center"/>
          </w:tcPr>
          <w:p w14:paraId="464936C2">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noWrap w:val="0"/>
            <w:vAlign w:val="center"/>
          </w:tcPr>
          <w:p w14:paraId="2440F6B5">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noWrap w:val="0"/>
            <w:vAlign w:val="center"/>
          </w:tcPr>
          <w:p w14:paraId="18BCD8E3">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71" w:type="dxa"/>
            <w:tcBorders>
              <w:top w:val="nil"/>
              <w:left w:val="nil"/>
              <w:bottom w:val="single" w:color="auto" w:sz="4" w:space="0"/>
              <w:right w:val="single" w:color="auto" w:sz="4" w:space="0"/>
            </w:tcBorders>
            <w:noWrap w:val="0"/>
            <w:vAlign w:val="center"/>
          </w:tcPr>
          <w:p w14:paraId="1CB34FA4">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14:paraId="6CA5F131">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85%（含）-95%，计3分；</w:t>
            </w:r>
          </w:p>
          <w:p w14:paraId="05D73824">
            <w:pPr>
              <w:widowControl/>
              <w:spacing w:line="24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rPr>
              <w:t>75%（含）-85%，计1分；</w:t>
            </w:r>
          </w:p>
          <w:p w14:paraId="6FCCEBDA">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19" w:type="dxa"/>
            <w:tcBorders>
              <w:top w:val="nil"/>
              <w:left w:val="nil"/>
              <w:bottom w:val="single" w:color="auto" w:sz="4" w:space="0"/>
              <w:right w:val="single" w:color="auto" w:sz="4" w:space="0"/>
            </w:tcBorders>
            <w:noWrap w:val="0"/>
            <w:vAlign w:val="center"/>
          </w:tcPr>
          <w:p w14:paraId="131B77C8">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noWrap w:val="0"/>
            <w:vAlign w:val="center"/>
          </w:tcPr>
          <w:p w14:paraId="75DF43BC">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noWrap w:val="0"/>
            <w:vAlign w:val="center"/>
          </w:tcPr>
          <w:p w14:paraId="4AAB4D65">
            <w:pPr>
              <w:widowControl/>
              <w:spacing w:line="240" w:lineRule="exact"/>
              <w:jc w:val="center"/>
              <w:rPr>
                <w:rFonts w:ascii="仿宋_GB2312" w:hAnsi="宋体" w:eastAsia="仿宋_GB2312" w:cs="宋体"/>
                <w:kern w:val="0"/>
                <w:sz w:val="18"/>
                <w:szCs w:val="18"/>
              </w:rPr>
            </w:pPr>
            <w:r>
              <w:rPr>
                <w:rFonts w:ascii="仿宋_GB2312" w:hAnsi="宋体" w:eastAsia="仿宋_GB2312" w:cs="宋体"/>
                <w:kern w:val="0"/>
                <w:sz w:val="18"/>
                <w:szCs w:val="18"/>
              </w:rPr>
              <w:t>满意度</w:t>
            </w:r>
            <w:r>
              <w:rPr>
                <w:rFonts w:hint="eastAsia" w:ascii="仿宋_GB2312" w:hAnsi="宋体" w:eastAsia="仿宋_GB2312" w:cs="宋体"/>
                <w:kern w:val="0"/>
                <w:sz w:val="18"/>
                <w:szCs w:val="18"/>
              </w:rPr>
              <w:t>90%</w:t>
            </w:r>
          </w:p>
        </w:tc>
      </w:tr>
      <w:tr w14:paraId="7E51643A">
        <w:tblPrEx>
          <w:tblCellMar>
            <w:top w:w="0" w:type="dxa"/>
            <w:left w:w="108" w:type="dxa"/>
            <w:bottom w:w="0" w:type="dxa"/>
            <w:right w:w="108" w:type="dxa"/>
          </w:tblCellMar>
        </w:tblPrEx>
        <w:trPr>
          <w:trHeight w:val="670" w:hRule="atLeast"/>
          <w:jc w:val="center"/>
        </w:trPr>
        <w:tc>
          <w:tcPr>
            <w:tcW w:w="976" w:type="dxa"/>
            <w:tcBorders>
              <w:top w:val="nil"/>
              <w:left w:val="single" w:color="auto" w:sz="4" w:space="0"/>
              <w:bottom w:val="single" w:color="auto" w:sz="4" w:space="0"/>
              <w:right w:val="single" w:color="auto" w:sz="4" w:space="0"/>
            </w:tcBorders>
            <w:noWrap w:val="0"/>
            <w:vAlign w:val="center"/>
          </w:tcPr>
          <w:p w14:paraId="41EA383B">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39" w:type="dxa"/>
            <w:tcBorders>
              <w:top w:val="nil"/>
              <w:left w:val="nil"/>
              <w:bottom w:val="single" w:color="auto" w:sz="4" w:space="0"/>
              <w:right w:val="single" w:color="auto" w:sz="4" w:space="0"/>
            </w:tcBorders>
            <w:noWrap w:val="0"/>
            <w:vAlign w:val="center"/>
          </w:tcPr>
          <w:p w14:paraId="287A45EA">
            <w:pPr>
              <w:widowControl/>
              <w:spacing w:line="240" w:lineRule="exact"/>
              <w:jc w:val="center"/>
              <w:rPr>
                <w:rFonts w:ascii="仿宋_GB2312" w:hAnsi="宋体" w:eastAsia="仿宋_GB2312" w:cs="宋体"/>
                <w:b/>
                <w:bCs/>
                <w:kern w:val="0"/>
                <w:sz w:val="18"/>
                <w:szCs w:val="18"/>
              </w:rPr>
            </w:pPr>
          </w:p>
        </w:tc>
        <w:tc>
          <w:tcPr>
            <w:tcW w:w="1389" w:type="dxa"/>
            <w:tcBorders>
              <w:top w:val="nil"/>
              <w:left w:val="nil"/>
              <w:bottom w:val="single" w:color="auto" w:sz="4" w:space="0"/>
              <w:right w:val="single" w:color="auto" w:sz="4" w:space="0"/>
            </w:tcBorders>
            <w:noWrap w:val="0"/>
            <w:vAlign w:val="center"/>
          </w:tcPr>
          <w:p w14:paraId="3270C102">
            <w:pPr>
              <w:widowControl/>
              <w:spacing w:line="240" w:lineRule="exact"/>
              <w:jc w:val="center"/>
              <w:rPr>
                <w:rFonts w:ascii="仿宋_GB2312" w:hAnsi="宋体" w:eastAsia="仿宋_GB2312" w:cs="宋体"/>
                <w:b/>
                <w:bCs/>
                <w:kern w:val="0"/>
                <w:sz w:val="18"/>
                <w:szCs w:val="18"/>
              </w:rPr>
            </w:pPr>
          </w:p>
        </w:tc>
        <w:tc>
          <w:tcPr>
            <w:tcW w:w="4171" w:type="dxa"/>
            <w:tcBorders>
              <w:top w:val="nil"/>
              <w:left w:val="nil"/>
              <w:bottom w:val="single" w:color="auto" w:sz="4" w:space="0"/>
              <w:right w:val="single" w:color="auto" w:sz="4" w:space="0"/>
            </w:tcBorders>
            <w:noWrap w:val="0"/>
            <w:vAlign w:val="center"/>
          </w:tcPr>
          <w:p w14:paraId="0FC48EFB">
            <w:pPr>
              <w:widowControl/>
              <w:spacing w:line="240" w:lineRule="exact"/>
              <w:jc w:val="center"/>
              <w:rPr>
                <w:rFonts w:ascii="仿宋_GB2312" w:hAnsi="宋体" w:eastAsia="仿宋_GB2312" w:cs="宋体"/>
                <w:b/>
                <w:bCs/>
                <w:kern w:val="0"/>
                <w:sz w:val="18"/>
                <w:szCs w:val="18"/>
              </w:rPr>
            </w:pPr>
          </w:p>
        </w:tc>
        <w:tc>
          <w:tcPr>
            <w:tcW w:w="619" w:type="dxa"/>
            <w:tcBorders>
              <w:top w:val="nil"/>
              <w:left w:val="nil"/>
              <w:bottom w:val="single" w:color="auto" w:sz="4" w:space="0"/>
              <w:right w:val="single" w:color="auto" w:sz="4" w:space="0"/>
            </w:tcBorders>
            <w:noWrap w:val="0"/>
            <w:vAlign w:val="center"/>
          </w:tcPr>
          <w:p w14:paraId="7500AA74">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0" w:type="dxa"/>
            <w:tcBorders>
              <w:top w:val="nil"/>
              <w:left w:val="nil"/>
              <w:bottom w:val="single" w:color="auto" w:sz="4" w:space="0"/>
              <w:right w:val="single" w:color="auto" w:sz="4" w:space="0"/>
            </w:tcBorders>
            <w:noWrap w:val="0"/>
            <w:vAlign w:val="center"/>
          </w:tcPr>
          <w:p w14:paraId="5E61BFA2">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0" w:type="dxa"/>
            <w:tcBorders>
              <w:top w:val="nil"/>
              <w:left w:val="nil"/>
              <w:bottom w:val="single" w:color="auto" w:sz="4" w:space="0"/>
              <w:right w:val="single" w:color="auto" w:sz="4" w:space="0"/>
            </w:tcBorders>
            <w:noWrap w:val="0"/>
            <w:vAlign w:val="center"/>
          </w:tcPr>
          <w:p w14:paraId="1C3FF001">
            <w:pPr>
              <w:widowControl/>
              <w:spacing w:line="240" w:lineRule="exact"/>
              <w:jc w:val="center"/>
              <w:rPr>
                <w:rFonts w:ascii="仿宋_GB2312" w:hAnsi="宋体" w:eastAsia="仿宋_GB2312" w:cs="宋体"/>
                <w:b/>
                <w:bCs/>
                <w:kern w:val="0"/>
                <w:sz w:val="18"/>
                <w:szCs w:val="18"/>
              </w:rPr>
            </w:pPr>
          </w:p>
        </w:tc>
      </w:tr>
    </w:tbl>
    <w:p w14:paraId="7FA9CD93">
      <w:pPr>
        <w:spacing w:before="156" w:beforeLines="50"/>
        <w:rPr>
          <w:rFonts w:hint="eastAsia" w:ascii="仿宋_GB2312" w:hAnsi="宋体" w:eastAsia="仿宋_GB2312" w:cs="宋体"/>
          <w:kern w:val="0"/>
          <w:szCs w:val="21"/>
        </w:rPr>
      </w:pPr>
      <w:r>
        <w:rPr>
          <w:rFonts w:hint="eastAsia" w:ascii="仿宋_GB2312" w:hAnsi="宋体" w:eastAsia="仿宋_GB2312" w:cs="宋体"/>
          <w:kern w:val="0"/>
          <w:szCs w:val="21"/>
        </w:rPr>
        <w:t>备注：如部门（单位）根据本部门实际情况修改调整了附件3《部门整体支出绩效评价指标体系（参考样表）》，须相应修改调整本表中的对应部分。</w:t>
      </w:r>
    </w:p>
    <w:tbl>
      <w:tblPr>
        <w:tblStyle w:val="4"/>
        <w:tblW w:w="9465" w:type="dxa"/>
        <w:tblInd w:w="0" w:type="dxa"/>
        <w:tblLayout w:type="autofit"/>
        <w:tblCellMar>
          <w:top w:w="0" w:type="dxa"/>
          <w:left w:w="0" w:type="dxa"/>
          <w:bottom w:w="0" w:type="dxa"/>
          <w:right w:w="0" w:type="dxa"/>
        </w:tblCellMar>
      </w:tblPr>
      <w:tblGrid>
        <w:gridCol w:w="1890"/>
        <w:gridCol w:w="2415"/>
        <w:gridCol w:w="2340"/>
        <w:gridCol w:w="2820"/>
      </w:tblGrid>
      <w:tr w14:paraId="545E1EEC">
        <w:tblPrEx>
          <w:tblCellMar>
            <w:top w:w="0" w:type="dxa"/>
            <w:left w:w="0" w:type="dxa"/>
            <w:bottom w:w="0" w:type="dxa"/>
            <w:right w:w="0" w:type="dxa"/>
          </w:tblCellMar>
        </w:tblPrEx>
        <w:trPr>
          <w:trHeight w:val="315" w:hRule="atLeast"/>
        </w:trPr>
        <w:tc>
          <w:tcPr>
            <w:tcW w:w="1890" w:type="dxa"/>
            <w:tcBorders>
              <w:top w:val="nil"/>
              <w:left w:val="nil"/>
              <w:bottom w:val="nil"/>
              <w:right w:val="nil"/>
            </w:tcBorders>
            <w:noWrap/>
            <w:tcMar>
              <w:top w:w="15" w:type="dxa"/>
              <w:left w:w="15" w:type="dxa"/>
              <w:right w:w="15" w:type="dxa"/>
            </w:tcMar>
            <w:vAlign w:val="center"/>
          </w:tcPr>
          <w:p w14:paraId="311F7C89">
            <w:pPr>
              <w:widowControl/>
              <w:jc w:val="left"/>
              <w:textAlignment w:val="center"/>
              <w:rPr>
                <w:rFonts w:hint="eastAsia" w:ascii="宋体" w:hAnsi="宋体" w:cs="宋体"/>
                <w:b/>
                <w:color w:val="000000"/>
                <w:sz w:val="24"/>
              </w:rPr>
            </w:pPr>
          </w:p>
        </w:tc>
        <w:tc>
          <w:tcPr>
            <w:tcW w:w="2415" w:type="dxa"/>
            <w:tcBorders>
              <w:top w:val="nil"/>
              <w:left w:val="nil"/>
              <w:bottom w:val="nil"/>
              <w:right w:val="nil"/>
            </w:tcBorders>
            <w:noWrap/>
            <w:tcMar>
              <w:top w:w="15" w:type="dxa"/>
              <w:left w:w="15" w:type="dxa"/>
              <w:right w:w="15" w:type="dxa"/>
            </w:tcMar>
            <w:vAlign w:val="center"/>
          </w:tcPr>
          <w:p w14:paraId="68627884">
            <w:pPr>
              <w:widowControl/>
              <w:tabs>
                <w:tab w:val="right" w:pos="2385"/>
              </w:tabs>
              <w:jc w:val="left"/>
              <w:textAlignment w:val="center"/>
              <w:rPr>
                <w:rFonts w:hint="eastAsia" w:ascii="宋体" w:hAnsi="宋体" w:cs="宋体"/>
                <w:b/>
                <w:color w:val="000000"/>
                <w:sz w:val="22"/>
                <w:szCs w:val="22"/>
              </w:rPr>
            </w:pPr>
          </w:p>
        </w:tc>
        <w:tc>
          <w:tcPr>
            <w:tcW w:w="2340" w:type="dxa"/>
            <w:tcBorders>
              <w:top w:val="nil"/>
              <w:left w:val="nil"/>
              <w:bottom w:val="nil"/>
              <w:right w:val="nil"/>
            </w:tcBorders>
            <w:noWrap/>
            <w:tcMar>
              <w:top w:w="15" w:type="dxa"/>
              <w:left w:w="15" w:type="dxa"/>
              <w:right w:w="15" w:type="dxa"/>
            </w:tcMar>
            <w:vAlign w:val="center"/>
          </w:tcPr>
          <w:p w14:paraId="3A99E4F9">
            <w:pPr>
              <w:rPr>
                <w:rFonts w:hint="eastAsia" w:ascii="宋体" w:hAnsi="宋体" w:cs="宋体"/>
                <w:b/>
                <w:color w:val="000000"/>
                <w:sz w:val="22"/>
                <w:szCs w:val="22"/>
              </w:rPr>
            </w:pPr>
          </w:p>
        </w:tc>
        <w:tc>
          <w:tcPr>
            <w:tcW w:w="2820" w:type="dxa"/>
            <w:tcBorders>
              <w:top w:val="nil"/>
              <w:left w:val="nil"/>
              <w:bottom w:val="nil"/>
              <w:right w:val="nil"/>
            </w:tcBorders>
            <w:noWrap/>
            <w:tcMar>
              <w:top w:w="15" w:type="dxa"/>
              <w:left w:w="15" w:type="dxa"/>
              <w:right w:w="15" w:type="dxa"/>
            </w:tcMar>
            <w:vAlign w:val="center"/>
          </w:tcPr>
          <w:p w14:paraId="3AF3FB73">
            <w:pPr>
              <w:widowControl/>
              <w:jc w:val="left"/>
              <w:textAlignment w:val="center"/>
              <w:rPr>
                <w:rFonts w:hint="eastAsia" w:ascii="宋体" w:hAnsi="宋体" w:cs="宋体"/>
                <w:b/>
                <w:color w:val="000000"/>
                <w:sz w:val="22"/>
                <w:szCs w:val="22"/>
              </w:rPr>
            </w:pPr>
          </w:p>
        </w:tc>
      </w:tr>
    </w:tbl>
    <w:p w14:paraId="2AEE0555">
      <w:pPr>
        <w:adjustRightInd w:val="0"/>
        <w:snapToGrid w:val="0"/>
        <w:spacing w:line="200" w:lineRule="exact"/>
        <w:contextualSpacing/>
        <w:jc w:val="right"/>
        <w:rPr>
          <w:rFonts w:hint="eastAsia" w:eastAsia="仿宋_GB2312"/>
          <w:sz w:val="32"/>
        </w:rPr>
      </w:pPr>
    </w:p>
    <w:p w14:paraId="0B50A44F"/>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5DF402">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 xml:space="preserve"> —</w:t>
    </w:r>
  </w:p>
  <w:p w14:paraId="18FA1DE1">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74C5E">
    <w:pPr>
      <w:framePr w:wrap="around" w:vAnchor="text" w:hAnchor="margin" w:xAlign="outside" w:y="1"/>
    </w:pPr>
    <w:r>
      <w:fldChar w:fldCharType="begin"/>
    </w:r>
    <w:r>
      <w:instrText xml:space="preserve">PAGE  </w:instrText>
    </w:r>
    <w:r>
      <w:fldChar w:fldCharType="separate"/>
    </w:r>
    <w:r>
      <w:t>- 15 -</w:t>
    </w:r>
    <w:r>
      <w:fldChar w:fldCharType="end"/>
    </w:r>
  </w:p>
  <w:p w14:paraId="2FCCCCD9">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D7F25">
    <w:pPr>
      <w:pStyle w:val="3"/>
      <w:framePr w:wrap="around" w:vAnchor="text" w:hAnchor="margin" w:xAlign="outside" w:y="1"/>
      <w:rPr>
        <w:rStyle w:val="6"/>
        <w:sz w:val="24"/>
        <w:szCs w:val="24"/>
      </w:rPr>
    </w:pPr>
    <w:r>
      <w:rPr>
        <w:rStyle w:val="6"/>
        <w:rFonts w:hint="eastAsia"/>
        <w:sz w:val="24"/>
        <w:szCs w:val="24"/>
      </w:rPr>
      <w:t xml:space="preserve">— </w:t>
    </w:r>
    <w:r>
      <w:rPr>
        <w:sz w:val="24"/>
        <w:szCs w:val="24"/>
      </w:rPr>
      <w:fldChar w:fldCharType="begin"/>
    </w:r>
    <w:r>
      <w:rPr>
        <w:rStyle w:val="6"/>
        <w:sz w:val="24"/>
        <w:szCs w:val="24"/>
      </w:rPr>
      <w:instrText xml:space="preserve">PAGE  </w:instrText>
    </w:r>
    <w:r>
      <w:rPr>
        <w:sz w:val="24"/>
        <w:szCs w:val="24"/>
      </w:rPr>
      <w:fldChar w:fldCharType="separate"/>
    </w:r>
    <w:r>
      <w:rPr>
        <w:rStyle w:val="6"/>
        <w:sz w:val="24"/>
        <w:szCs w:val="24"/>
      </w:rPr>
      <w:t>2</w:t>
    </w:r>
    <w:r>
      <w:rPr>
        <w:sz w:val="24"/>
        <w:szCs w:val="24"/>
      </w:rPr>
      <w:fldChar w:fldCharType="end"/>
    </w:r>
    <w:r>
      <w:rPr>
        <w:rStyle w:val="6"/>
        <w:rFonts w:hint="eastAsia"/>
        <w:sz w:val="24"/>
        <w:szCs w:val="24"/>
      </w:rPr>
      <w:t xml:space="preserve"> —</w:t>
    </w:r>
  </w:p>
  <w:p w14:paraId="1F66A8D7">
    <w:pPr>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206DBA"/>
    <w:multiLevelType w:val="multilevel"/>
    <w:tmpl w:val="38206DB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NGViMzY5ZGZiMWVhNDgzMWEwZDhmMGFiNzc5OGQifQ=="/>
  </w:docVars>
  <w:rsids>
    <w:rsidRoot w:val="0F3612D3"/>
    <w:rsid w:val="0F3612D3"/>
    <w:rsid w:val="39050571"/>
    <w:rsid w:val="404F6A3C"/>
    <w:rsid w:val="553E7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before="100" w:beforeAutospacing="1" w:after="100" w:afterAutospacing="1" w:line="480" w:lineRule="auto"/>
      <w:ind w:left="420" w:leftChars="200"/>
    </w:pPr>
  </w:style>
  <w:style w:type="paragraph" w:styleId="3">
    <w:name w:val="footer"/>
    <w:basedOn w:val="1"/>
    <w:qFormat/>
    <w:uiPriority w:val="0"/>
    <w:pPr>
      <w:tabs>
        <w:tab w:val="center" w:pos="4153"/>
        <w:tab w:val="right" w:pos="8306"/>
      </w:tabs>
      <w:snapToGrid w:val="0"/>
      <w:jc w:val="left"/>
    </w:pPr>
    <w:rPr>
      <w:kern w:val="0"/>
      <w:sz w:val="18"/>
      <w:szCs w:val="18"/>
    </w:rPr>
  </w:style>
  <w:style w:type="character" w:styleId="6">
    <w:name w:val="page number"/>
    <w:qFormat/>
    <w:uiPriority w:val="0"/>
  </w:style>
  <w:style w:type="paragraph" w:customStyle="1" w:styleId="7">
    <w:name w:val="BodyText1I"/>
    <w:basedOn w:val="1"/>
    <w:qFormat/>
    <w:uiPriority w:val="99"/>
    <w:pPr>
      <w:snapToGrid w:val="0"/>
      <w:spacing w:line="360" w:lineRule="auto"/>
      <w:ind w:firstLine="420" w:firstLineChars="100"/>
    </w:pPr>
    <w:rPr>
      <w:sz w:val="28"/>
      <w:szCs w:val="20"/>
    </w:rPr>
  </w:style>
  <w:style w:type="paragraph" w:styleId="8">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9530</Words>
  <Characters>9856</Characters>
  <Lines>0</Lines>
  <Paragraphs>0</Paragraphs>
  <TotalTime>5</TotalTime>
  <ScaleCrop>false</ScaleCrop>
  <LinksUpToDate>false</LinksUpToDate>
  <CharactersWithSpaces>10401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2023-07-14T01:28:00Z</dcterms:created>
  <dc:creator>西瓜小姐姐</dc:creator>
  <cp:lastModifiedBy>叶宏欢</cp:lastModifiedBy>
  <dcterms:modified xsi:type="dcterms:W3CDTF">2024-08-17T03:48:36Z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1F9FC166B4EC495B906B0DAA198F4AE8_11</vt:lpwstr>
  </property>
</Properties>
</file>