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楷体_GB2312" w:hAnsi="宋体" w:eastAsia="楷体_GB2312"/>
          <w:b/>
          <w:sz w:val="32"/>
          <w:szCs w:val="32"/>
        </w:rPr>
      </w:pPr>
      <w:bookmarkStart w:id="0" w:name="_GoBack"/>
      <w:bookmarkEnd w:id="0"/>
    </w:p>
    <w:p>
      <w:pPr>
        <w:spacing w:line="760" w:lineRule="exact"/>
        <w:jc w:val="center"/>
        <w:rPr>
          <w:rFonts w:ascii="楷体_GB2312" w:hAnsi="宋体" w:eastAsia="楷体_GB2312"/>
          <w:b/>
          <w:sz w:val="32"/>
          <w:szCs w:val="32"/>
        </w:rPr>
      </w:pPr>
      <w:r>
        <w:rPr>
          <w:rFonts w:hint="eastAsia" w:ascii="楷体_GB2312" w:hAnsi="宋体" w:eastAsia="楷体_GB2312" w:cs="Times New Roman"/>
          <w:b/>
          <w:sz w:val="32"/>
          <w:szCs w:val="32"/>
          <w:lang w:val="en-US" w:eastAsia="zh-CN"/>
        </w:rPr>
        <w:t>岳阳市云溪区退役军人事务局2</w:t>
      </w:r>
      <w:r>
        <w:rPr>
          <w:rFonts w:hint="eastAsia" w:ascii="楷体_GB2312" w:hAnsi="宋体" w:eastAsia="楷体_GB2312"/>
          <w:b/>
          <w:sz w:val="32"/>
          <w:szCs w:val="32"/>
        </w:rPr>
        <w:t>0</w:t>
      </w:r>
      <w:r>
        <w:rPr>
          <w:rFonts w:hint="eastAsia" w:ascii="楷体_GB2312" w:hAnsi="宋体" w:eastAsia="楷体_GB2312"/>
          <w:b/>
          <w:sz w:val="32"/>
          <w:szCs w:val="32"/>
          <w:lang w:val="en-US" w:eastAsia="zh-CN"/>
        </w:rPr>
        <w:t>22</w:t>
      </w:r>
      <w:r>
        <w:rPr>
          <w:rFonts w:hint="eastAsia" w:ascii="楷体_GB2312" w:hAnsi="宋体" w:eastAsia="楷体_GB2312"/>
          <w:b/>
          <w:sz w:val="32"/>
          <w:szCs w:val="32"/>
        </w:rPr>
        <w:t>年</w:t>
      </w:r>
      <w:r>
        <w:rPr>
          <w:rFonts w:hint="eastAsia" w:ascii="楷体_GB2312" w:hAnsi="宋体" w:eastAsia="楷体_GB2312"/>
          <w:b/>
          <w:sz w:val="32"/>
          <w:szCs w:val="32"/>
          <w:lang w:val="en-US" w:eastAsia="zh-CN"/>
        </w:rPr>
        <w:t>度</w:t>
      </w:r>
      <w:r>
        <w:rPr>
          <w:rFonts w:hint="eastAsia" w:ascii="楷体_GB2312" w:hAnsi="宋体" w:eastAsia="楷体_GB2312"/>
          <w:b/>
          <w:sz w:val="32"/>
          <w:szCs w:val="32"/>
        </w:rPr>
        <w:t>整体支出</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湘恒兴专审字（20</w:t>
      </w:r>
      <w:r>
        <w:rPr>
          <w:rFonts w:hint="eastAsia" w:ascii="楷体_GB2312" w:hAnsi="宋体" w:eastAsia="楷体_GB2312"/>
          <w:b/>
          <w:bCs/>
          <w:sz w:val="32"/>
          <w:szCs w:val="32"/>
          <w:lang w:val="en-US" w:eastAsia="zh-CN"/>
        </w:rPr>
        <w:t>22</w:t>
      </w:r>
      <w:r>
        <w:rPr>
          <w:rFonts w:hint="eastAsia" w:ascii="楷体_GB2312" w:hAnsi="宋体" w:eastAsia="楷体_GB2312"/>
          <w:b/>
          <w:bCs/>
          <w:sz w:val="32"/>
          <w:szCs w:val="32"/>
        </w:rPr>
        <w:t>）第0</w:t>
      </w:r>
      <w:r>
        <w:rPr>
          <w:rFonts w:hint="eastAsia" w:ascii="楷体_GB2312" w:hAnsi="宋体" w:eastAsia="楷体_GB2312"/>
          <w:b/>
          <w:bCs/>
          <w:sz w:val="32"/>
          <w:szCs w:val="32"/>
          <w:lang w:val="en-US" w:eastAsia="zh-CN"/>
        </w:rPr>
        <w:t>52</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hint="default" w:ascii="楷体_GB2312" w:hAnsi="宋体" w:eastAsia="楷体_GB2312"/>
          <w:b/>
          <w:bCs/>
          <w:spacing w:val="40"/>
          <w:sz w:val="30"/>
          <w:szCs w:val="30"/>
          <w:lang w:val="en-US" w:eastAsia="zh-CN"/>
        </w:rPr>
      </w:pPr>
      <w:r>
        <w:rPr>
          <w:rFonts w:hint="eastAsia" w:ascii="楷体_GB2312" w:hAnsi="宋体" w:eastAsia="楷体_GB2312"/>
          <w:b/>
          <w:bCs/>
          <w:spacing w:val="40"/>
          <w:sz w:val="32"/>
          <w:szCs w:val="32"/>
          <w:lang w:val="en-US" w:eastAsia="zh-CN"/>
        </w:rPr>
        <w:t xml:space="preserve">  </w:t>
      </w:r>
      <w:r>
        <w:rPr>
          <w:rFonts w:hint="eastAsia" w:ascii="楷体_GB2312" w:hAnsi="宋体" w:eastAsia="楷体_GB2312"/>
          <w:b/>
          <w:bCs/>
          <w:spacing w:val="40"/>
          <w:sz w:val="32"/>
          <w:szCs w:val="32"/>
        </w:rPr>
        <w:t>湖南恒兴联合会计师事务所</w:t>
      </w:r>
      <w:r>
        <w:rPr>
          <w:rFonts w:hint="eastAsia" w:ascii="楷体_GB2312" w:hAnsi="宋体" w:eastAsia="楷体_GB2312"/>
          <w:b/>
          <w:bCs/>
          <w:spacing w:val="40"/>
          <w:sz w:val="30"/>
          <w:szCs w:val="30"/>
          <w:lang w:eastAsia="zh-CN"/>
        </w:rPr>
        <w:t>（</w:t>
      </w:r>
      <w:r>
        <w:rPr>
          <w:rFonts w:hint="eastAsia" w:ascii="楷体_GB2312" w:hAnsi="宋体" w:eastAsia="楷体_GB2312"/>
          <w:b/>
          <w:bCs/>
          <w:spacing w:val="40"/>
          <w:sz w:val="30"/>
          <w:szCs w:val="30"/>
          <w:lang w:val="en-US" w:eastAsia="zh-CN"/>
        </w:rPr>
        <w:t>普通合伙）</w:t>
      </w:r>
    </w:p>
    <w:p>
      <w:pPr>
        <w:spacing w:line="760" w:lineRule="exact"/>
        <w:jc w:val="center"/>
        <w:rPr>
          <w:rFonts w:hint="eastAsia" w:ascii="黑体" w:hAnsi="黑体" w:eastAsia="黑体"/>
          <w:b/>
          <w:bCs/>
          <w:sz w:val="36"/>
          <w:szCs w:val="36"/>
        </w:rPr>
        <w:sectPr>
          <w:headerReference r:id="rId4" w:type="first"/>
          <w:headerReference r:id="rId3" w:type="default"/>
          <w:pgSz w:w="11906" w:h="16838"/>
          <w:pgMar w:top="1440" w:right="1644" w:bottom="1247" w:left="1644" w:header="851" w:footer="992" w:gutter="0"/>
          <w:pgNumType w:fmt="decimal" w:start="1"/>
          <w:cols w:space="720" w:num="1"/>
          <w:docGrid w:type="lines" w:linePitch="312" w:charSpace="0"/>
        </w:sectPr>
      </w:pPr>
      <w:r>
        <w:rPr>
          <w:rFonts w:hint="eastAsia" w:ascii="楷体_GB2312" w:hAnsi="宋体" w:eastAsia="楷体_GB2312"/>
          <w:b/>
          <w:bCs/>
          <w:sz w:val="32"/>
          <w:szCs w:val="32"/>
        </w:rPr>
        <w:t>二0</w:t>
      </w:r>
      <w:r>
        <w:rPr>
          <w:rFonts w:hint="eastAsia" w:ascii="楷体_GB2312" w:hAnsi="宋体" w:eastAsia="楷体_GB2312"/>
          <w:b/>
          <w:bCs/>
          <w:sz w:val="32"/>
          <w:szCs w:val="32"/>
          <w:lang w:val="en-US" w:eastAsia="zh-CN"/>
        </w:rPr>
        <w:t>二三</w:t>
      </w:r>
      <w:r>
        <w:rPr>
          <w:rFonts w:hint="eastAsia" w:ascii="楷体_GB2312" w:hAnsi="宋体" w:eastAsia="楷体_GB2312"/>
          <w:b/>
          <w:bCs/>
          <w:sz w:val="32"/>
          <w:szCs w:val="32"/>
        </w:rPr>
        <w:t>年</w:t>
      </w:r>
      <w:r>
        <w:rPr>
          <w:rFonts w:hint="eastAsia" w:ascii="楷体_GB2312" w:hAnsi="宋体" w:eastAsia="楷体_GB2312"/>
          <w:b/>
          <w:bCs/>
          <w:sz w:val="32"/>
          <w:szCs w:val="32"/>
          <w:lang w:val="en-US" w:eastAsia="zh-CN"/>
        </w:rPr>
        <w:t>十一</w:t>
      </w:r>
      <w:r>
        <w:rPr>
          <w:rFonts w:hint="eastAsia" w:ascii="楷体_GB2312" w:hAnsi="宋体" w:eastAsia="楷体_GB2312"/>
          <w:b/>
          <w:bCs/>
          <w:sz w:val="32"/>
          <w:szCs w:val="32"/>
        </w:rPr>
        <w:t>月</w:t>
      </w:r>
    </w:p>
    <w:p>
      <w:pPr>
        <w:keepNext w:val="0"/>
        <w:keepLines w:val="0"/>
        <w:pageBreakBefore w:val="0"/>
        <w:widowControl w:val="0"/>
        <w:kinsoku/>
        <w:wordWrap/>
        <w:overflowPunct/>
        <w:topLinePunct w:val="0"/>
        <w:autoSpaceDE/>
        <w:autoSpaceDN/>
        <w:bidi w:val="0"/>
        <w:adjustRightInd/>
        <w:snapToGrid/>
        <w:spacing w:line="400" w:lineRule="exact"/>
        <w:ind w:firstLine="3975" w:firstLineChars="1100"/>
        <w:textAlignment w:val="auto"/>
        <w:rPr>
          <w:rFonts w:hint="eastAsia" w:ascii="宋体" w:hAnsi="宋体" w:eastAsia="宋体"/>
          <w:b/>
          <w:sz w:val="24"/>
          <w:lang w:val="en-US" w:eastAsia="zh-CN"/>
        </w:rPr>
      </w:pPr>
      <w:r>
        <w:rPr>
          <w:rFonts w:hint="eastAsia" w:ascii="宋体" w:hAnsi="宋体"/>
          <w:b/>
          <w:sz w:val="36"/>
          <w:szCs w:val="36"/>
        </w:rPr>
        <w:t>内容</w:t>
      </w:r>
      <w:r>
        <w:rPr>
          <w:rFonts w:hint="eastAsia" w:ascii="宋体" w:hAnsi="宋体"/>
          <w:b/>
          <w:sz w:val="36"/>
          <w:szCs w:val="36"/>
          <w:lang w:val="en-US" w:eastAsia="zh-CN"/>
        </w:rPr>
        <w:t>简介</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sz w:val="24"/>
        </w:rPr>
      </w:pPr>
      <w:r>
        <w:rPr>
          <w:rFonts w:hint="eastAsia" w:ascii="宋体" w:hAnsi="宋体" w:eastAsia="宋体" w:cs="宋体"/>
          <w:b/>
          <w:sz w:val="24"/>
        </w:rPr>
        <w:t>●</w:t>
      </w:r>
      <w:r>
        <w:rPr>
          <w:rFonts w:hint="eastAsia" w:ascii="宋体" w:hAnsi="宋体"/>
          <w:b/>
          <w:sz w:val="24"/>
        </w:rPr>
        <w:t>项目基本概况</w:t>
      </w:r>
    </w:p>
    <w:tbl>
      <w:tblPr>
        <w:tblStyle w:val="23"/>
        <w:tblW w:w="90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0"/>
        <w:gridCol w:w="1038"/>
        <w:gridCol w:w="1227"/>
        <w:gridCol w:w="1226"/>
        <w:gridCol w:w="1220"/>
        <w:gridCol w:w="1033"/>
        <w:gridCol w:w="1034"/>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0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c>
          <w:tcPr>
            <w:tcW w:w="7500" w:type="dxa"/>
            <w:gridSpan w:val="7"/>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岳阳市云溪区退役军人事务局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单位负责人</w:t>
            </w:r>
          </w:p>
        </w:tc>
        <w:tc>
          <w:tcPr>
            <w:tcW w:w="7500" w:type="dxa"/>
            <w:gridSpan w:val="7"/>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单位地址</w:t>
            </w:r>
          </w:p>
        </w:tc>
        <w:tc>
          <w:tcPr>
            <w:tcW w:w="7500" w:type="dxa"/>
            <w:gridSpan w:val="7"/>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岳阳市云溪区岳化大道</w:t>
            </w:r>
            <w:r>
              <w:rPr>
                <w:rFonts w:hint="default" w:ascii="Times New Roman" w:hAnsi="Times New Roman" w:eastAsia="宋体" w:cs="Times New Roman"/>
                <w:i w:val="0"/>
                <w:iCs w:val="0"/>
                <w:color w:val="000000"/>
                <w:kern w:val="0"/>
                <w:sz w:val="24"/>
                <w:szCs w:val="24"/>
                <w:u w:val="none"/>
                <w:lang w:val="en-US" w:eastAsia="zh-CN" w:bidi="ar"/>
              </w:rPr>
              <w:t>180</w:t>
            </w:r>
            <w:r>
              <w:rPr>
                <w:rFonts w:hint="eastAsia" w:ascii="宋体" w:hAnsi="宋体" w:eastAsia="宋体" w:cs="宋体"/>
                <w:i w:val="0"/>
                <w:iCs w:val="0"/>
                <w:color w:val="000000"/>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0"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资金情况</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（万元）</w:t>
            </w:r>
          </w:p>
        </w:tc>
        <w:tc>
          <w:tcPr>
            <w:tcW w:w="3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2022</w:t>
            </w:r>
            <w:r>
              <w:rPr>
                <w:rFonts w:hint="eastAsia" w:ascii="仿宋" w:hAnsi="仿宋" w:eastAsia="仿宋" w:cs="仿宋"/>
                <w:b/>
                <w:bCs/>
                <w:i w:val="0"/>
                <w:iCs w:val="0"/>
                <w:color w:val="000000"/>
                <w:kern w:val="0"/>
                <w:sz w:val="24"/>
                <w:szCs w:val="24"/>
                <w:u w:val="none"/>
                <w:lang w:val="en-US" w:eastAsia="zh-CN" w:bidi="ar"/>
              </w:rPr>
              <w:t>预算指标</w:t>
            </w:r>
          </w:p>
        </w:tc>
        <w:tc>
          <w:tcPr>
            <w:tcW w:w="40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帐面实际收支情况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0" w:type="dxa"/>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c>
          <w:tcPr>
            <w:tcW w:w="0" w:type="auto"/>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0" w:type="dxa"/>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2484.89</w:t>
            </w:r>
          </w:p>
        </w:tc>
        <w:tc>
          <w:tcPr>
            <w:tcW w:w="0" w:type="auto"/>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161.38</w:t>
            </w:r>
          </w:p>
        </w:tc>
        <w:tc>
          <w:tcPr>
            <w:tcW w:w="0" w:type="auto"/>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2323.51</w:t>
            </w:r>
          </w:p>
        </w:tc>
        <w:tc>
          <w:tcPr>
            <w:tcW w:w="0" w:type="auto"/>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56.91</w:t>
            </w:r>
          </w:p>
        </w:tc>
        <w:tc>
          <w:tcPr>
            <w:tcW w:w="0" w:type="auto"/>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2427.23</w:t>
            </w:r>
          </w:p>
        </w:tc>
        <w:tc>
          <w:tcPr>
            <w:tcW w:w="0" w:type="auto"/>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2484.14</w:t>
            </w:r>
          </w:p>
        </w:tc>
        <w:tc>
          <w:tcPr>
            <w:tcW w:w="0" w:type="auto"/>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sz w:val="24"/>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年度绩效目标</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因区退役军人事务局未提供本单位年度工作计划或重点工作安排，绩效评价人员根据岳阳市、云溪区对退役军人综合考核指标及单位职能职责确定以下绩效目标。</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（一）产出数量目标</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1.重点工作履行方面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保障体系建设方面：计划完成服务对象100人以上的12个村（社区）级服务站示范站建设和云溪街道退役军人服务站标杆站的创建工作；全区服务站“五有”覆盖率100%；对退役军人和其他优抚对象建档立卡率和办证完成率均达到100%；优抚对象年度确认率100%；在全区56个村（社区）服务站设立由专干担任的信访信息员，5个镇（街道）均设立由站长担任的信访代办员；全年开展退役军人志愿服务活动4次，镇（街道)、村（社区）开展志愿服务活动≥4次/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（2）思想政治权益维护方面：组织开展退役军人党员爱国主义教育活动1 次、老兵党员入校园宣讲等活动1次，报送湖南省最美退役军人1人；计划开展“兵支书”“兵委员”的教育培训活动工作；帮助困难企业军转干部解困，对特殊困难退役军人进行援助。</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（3）防范化解矛盾风险方面：云溪区赴省进京非访事件为0；建立重点对象、重点群体人员台账，落实了“五包一”及领导包联制度；信访回复率100%；建立系统网评员队伍人数≥12名</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（4）政策法规褒扬纪念方面：开展系列主题活动；完成烈士纪念设施提质改造工程；开展清明祭英烈活动；春节、八一走访慰问烈士父母；印制《退役军人保障法》等法律法规宣传册10000本。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（5）移交安置方面：完成退役军人安置任务100%；全年按要求发放自主就业一次性经济补助及政策规定的补助。</w:t>
      </w:r>
    </w:p>
    <w:p>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（6）军休服务管理方面：计划完成年度接收安置任务100%；落实军休人员“两项待遇”；按月发放军队退休人员待遇；开</w:t>
      </w:r>
      <w:r>
        <w:rPr>
          <w:rFonts w:hint="eastAsia" w:ascii="宋体" w:hAnsi="宋体" w:eastAsia="宋体" w:cs="宋体"/>
          <w:b w:val="0"/>
          <w:bCs w:val="0"/>
          <w:kern w:val="2"/>
          <w:sz w:val="24"/>
          <w:szCs w:val="24"/>
          <w:lang w:val="en-US" w:eastAsia="zh-CN" w:bidi="ar-SA"/>
        </w:rPr>
        <w:t>展重大节日走访慰问活动。</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拥军优属工作方面：节日走访慰问驻军单位；建立市双拥林活动基地；走访边海防官兵慰问军属12人；组织参战老兵到校园讲红色故事，退役军人志愿队进校园宣讲党的二十大精神；协调落实军人子女教育优待；为立功受奖官兵送喜报100%；按要求发放义务兵家庭优待金100%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（8）就业创业方面：推荐湖南省“最美退役军人”候选对象、优秀企业和先进个人参加评选；开展招聘活动；开展退役士兵返乡欢迎仪式；退役士兵职业培训38人。</w:t>
      </w:r>
    </w:p>
    <w:p>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拥军优抚方面：开展重大节日慰问；按政策规定每月及时足额发放各类优抚对象抚恤补助金；常态化信息采集应采尽采；悬挂光荣牌100%；参战参试身份认定100%；开展退役军人和其他优抚对象建档立卡100%和优待证发放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2.部门日常监管工作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（1）完成退役军人事务系统2022年争资争项目标任务1,300.00万元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（2）完成离退休干部活动场地建设任务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（3）落实军人军属、退役军人和其他优抚对象优待目录清单内容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（4）对全区系统2022年退役军人工作综合考评工作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（5）市、区、本局业务培训3次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（6）局相关部门对区光荣院、退役军人服务站资金支出情况检查或审计1次，出具检查或审计报告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（7）对省、市、区巡察、审计、财政、退役军人管理部门检查报告提出问题的整改率达100%。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（二）产出质量目标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1.村（社区）级服务站示范站建设和云溪街道退役军人服务站标杆站的创建市级验收合格率100%；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2.离退休干部活动场地建设等项目符合相关质量验收标准；信访回复满意度95%及以上；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3.发生重大安全责任事故为0；重大负面维稳事件、重大负面舆情为0；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4.市、区退役军人工作综合考评达到80分以上（良好单位）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5.发放各项优抚对象抚恤补助资金符合相关标准，无差错。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szCs w:val="24"/>
          <w:highlight w:val="none"/>
          <w:lang w:val="en-US" w:eastAsia="zh-CN" w:bidi="ar-SA"/>
        </w:rPr>
        <w:t>（三）产出时效目标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1.计划202</w:t>
      </w:r>
      <w:r>
        <w:rPr>
          <w:rFonts w:hint="eastAsia" w:eastAsia="宋体" w:cs="宋体"/>
          <w:b w:val="0"/>
          <w:bCs w:val="0"/>
          <w:sz w:val="24"/>
          <w:szCs w:val="24"/>
          <w:lang w:val="en-US" w:eastAsia="zh-CN"/>
        </w:rPr>
        <w:t>2</w:t>
      </w:r>
      <w:r>
        <w:rPr>
          <w:rFonts w:hint="eastAsia" w:ascii="宋体" w:hAnsi="宋体" w:eastAsia="宋体" w:cs="宋体"/>
          <w:b w:val="0"/>
          <w:bCs w:val="0"/>
          <w:sz w:val="24"/>
          <w:szCs w:val="24"/>
          <w:lang w:val="en-US" w:eastAsia="zh-CN"/>
        </w:rPr>
        <w:t>年度12月31日前完成全年任务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2.项目建设工程按合同时间竣工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3.按规定时间足额发放各类优抚对象抚恤补助金。</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（四）产出成本控制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1.支出控制在总预算范围内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2.基本支出控制预算161.38万元范围内，专项经费支出控制在预算2,323.51范围内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3.公用经费支出≤预算。</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（五）效果及社会满意度</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1.社会效果</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（1）把准政治方向，维护了党的领导</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（2）做好安保维稳工作，守住了本区安全稳定底线</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（3）做好学习与宣传工作，提升工作人员及退役军人法律意识和法治观念</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（4）完善英雄烈士纪念设施建设，提升了红色教育功能与氛围</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（5）妥善安置就业，鼓励退役军人创业创新</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（6）全力落实双拥优抚政策，为全区双拥工作打下坚实基础。</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2.履职效能</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（1）局机关领导班子成员工作扎实，履职能力加强，多项工作评优、评先</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（2）基层组织各项业务能力、服务能力是否能够满足需要</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（3）基层组织人员配备符合标准，人员稳定性较好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3.可持续性影响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（1）全方位营造全社会尊重退役军人和支持退役军人工作的良好氛围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（2）提升退役军人依法表达诉求、依法维护权益的意识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（3）增强优抚对象的荣誉感、获得感。</w:t>
      </w:r>
    </w:p>
    <w:p>
      <w:pPr>
        <w:pStyle w:val="7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4.服务对象满意度</w:t>
      </w:r>
    </w:p>
    <w:p>
      <w:pPr>
        <w:pStyle w:val="7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退役军人满意度达90%及以上。</w:t>
      </w:r>
    </w:p>
    <w:p>
      <w:pPr>
        <w:pStyle w:val="7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w:t>
      </w:r>
      <w:r>
        <w:rPr>
          <w:rFonts w:hint="eastAsia" w:ascii="宋体" w:hAnsi="宋体" w:eastAsia="宋体" w:cs="宋体"/>
          <w:b/>
          <w:bCs/>
          <w:sz w:val="28"/>
          <w:szCs w:val="28"/>
          <w:highlight w:val="none"/>
        </w:rPr>
        <w:t>评价结论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评价结论</w:t>
      </w:r>
    </w:p>
    <w:p>
      <w:pPr>
        <w:pStyle w:val="12"/>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 xml:space="preserve">    经绩效评价小组评定，得分80分，等级为“良好”其中：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1、投入  总分12分 该项目得分11分    扣1分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2、过程  总分28分 该项目得分20分    扣8分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3、产出  总分30分 该项目得分23分    扣7分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4、效果  总分30分 该项目得分26分    扣4分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具体见《区退役军人事务局2022年度整体支出绩效评价评分表》（附件2）</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项目主要绩效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1.把准政治方向，维护了党的领导</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2.做好安保维稳工作，守住了本区安全稳定底线。</w:t>
      </w:r>
    </w:p>
    <w:p>
      <w:pPr>
        <w:pStyle w:val="7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3.做好学习与宣传工作，提升工作人员及退役军人法律意识和法治观念。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4.完善英雄烈士纪念设施建设，提升了红色教育功能与氛围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5.妥善安置就业，鼓励退役军人创业创新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6.全力落实双拥优抚政策，为全区双拥工作打下坚实基础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●存在的问题</w:t>
      </w:r>
      <w:r>
        <w:rPr>
          <w:rFonts w:hint="eastAsia" w:ascii="宋体" w:hAnsi="宋体" w:eastAsia="宋体" w:cs="宋体"/>
          <w:b/>
          <w:bCs/>
          <w:sz w:val="28"/>
          <w:szCs w:val="28"/>
          <w:highlight w:val="none"/>
          <w:lang w:eastAsia="zh-CN"/>
        </w:rPr>
        <w:t>及建议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一）</w:t>
      </w:r>
      <w:r>
        <w:rPr>
          <w:rFonts w:hint="eastAsia" w:ascii="宋体" w:hAnsi="宋体" w:eastAsia="宋体" w:cs="宋体"/>
          <w:b/>
          <w:bCs/>
          <w:kern w:val="0"/>
          <w:sz w:val="24"/>
          <w:szCs w:val="24"/>
          <w:lang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lang w:val="en-US" w:eastAsia="zh-CN"/>
        </w:rPr>
        <w:t>1.绩效目标指标设置不完整，不规范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2.部分支出超预算及预算范围。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3.工会经费拨付会计凭证附件不全。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trike w:val="0"/>
          <w:color w:val="auto"/>
          <w:sz w:val="24"/>
          <w:szCs w:val="24"/>
          <w:lang w:val="en-US" w:eastAsia="zh-CN"/>
        </w:rPr>
      </w:pPr>
      <w:r>
        <w:rPr>
          <w:rFonts w:hint="eastAsia" w:ascii="宋体" w:hAnsi="宋体" w:eastAsia="宋体" w:cs="宋体"/>
          <w:b w:val="0"/>
          <w:bCs w:val="0"/>
          <w:strike w:val="0"/>
          <w:color w:val="auto"/>
          <w:sz w:val="24"/>
          <w:szCs w:val="24"/>
          <w:lang w:val="en-US" w:eastAsia="zh-CN"/>
        </w:rPr>
        <w:t>4.安排区福利中心（光荣院）优抚资金超标准。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5.部分专项资金未专款专用，内部检查问题整改不到位。</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6.部分慰问现金发放手续不合规。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7.财务核算不规范，部分会计科目核算不准确。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8.部分业务</w:t>
      </w:r>
      <w:r>
        <w:rPr>
          <w:rFonts w:hint="eastAsia" w:ascii="宋体" w:hAnsi="宋体" w:eastAsia="宋体" w:cs="宋体"/>
          <w:b w:val="0"/>
          <w:bCs w:val="0"/>
          <w:strike w:val="0"/>
          <w:color w:val="auto"/>
          <w:sz w:val="24"/>
          <w:szCs w:val="24"/>
          <w:lang w:val="en-US" w:eastAsia="zh-CN"/>
        </w:rPr>
        <w:t>监管不到位，基层工作人员</w:t>
      </w:r>
      <w:r>
        <w:rPr>
          <w:rFonts w:hint="eastAsia" w:ascii="宋体" w:hAnsi="宋体" w:eastAsia="宋体" w:cs="宋体"/>
          <w:b w:val="0"/>
          <w:bCs w:val="0"/>
          <w:color w:val="auto"/>
          <w:kern w:val="2"/>
          <w:sz w:val="24"/>
          <w:szCs w:val="24"/>
          <w:highlight w:val="none"/>
          <w:lang w:val="en-US" w:eastAsia="zh-CN" w:bidi="ar-SA"/>
        </w:rPr>
        <w:t>履职效能较低。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9.项目未按时竣工验收，且提前交付使用。</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10.管理制度不够健全</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（二）相关</w:t>
      </w:r>
      <w:r>
        <w:rPr>
          <w:rFonts w:hint="eastAsia" w:ascii="宋体" w:hAnsi="宋体" w:eastAsia="宋体" w:cs="宋体"/>
          <w:b/>
          <w:bCs/>
          <w:kern w:val="0"/>
          <w:sz w:val="24"/>
          <w:szCs w:val="24"/>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1.规范设置绩效指标，加强绩效管理</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2.加强预算管理，确保预算的严肃性。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3.加强对工会经费拨付管理。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制订专项资金管理办法，加强专项资金管理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5.加强财务核算及管理，规范慰问现金</w:t>
      </w:r>
      <w:r>
        <w:rPr>
          <w:rFonts w:hint="eastAsia" w:ascii="宋体" w:hAnsi="宋体" w:eastAsia="宋体" w:cs="宋体"/>
          <w:b w:val="0"/>
          <w:bCs w:val="0"/>
          <w:sz w:val="24"/>
          <w:szCs w:val="24"/>
          <w:highlight w:val="none"/>
          <w:lang w:val="en-US" w:eastAsia="zh-CN"/>
        </w:rPr>
        <w:t>发放手续</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6.加强业务管理，提高</w:t>
      </w:r>
      <w:r>
        <w:rPr>
          <w:rFonts w:hint="eastAsia" w:ascii="宋体" w:hAnsi="宋体" w:eastAsia="宋体" w:cs="宋体"/>
          <w:b w:val="0"/>
          <w:bCs w:val="0"/>
          <w:color w:val="auto"/>
          <w:kern w:val="0"/>
          <w:sz w:val="24"/>
          <w:szCs w:val="24"/>
          <w:highlight w:val="none"/>
          <w:lang w:val="en-US" w:eastAsia="zh-CN" w:bidi="ar-SA"/>
        </w:rPr>
        <w:t>履职能力</w:t>
      </w:r>
      <w:r>
        <w:rPr>
          <w:rFonts w:hint="eastAsia" w:ascii="宋体" w:hAnsi="宋体" w:eastAsia="宋体" w:cs="宋体"/>
          <w:b w:val="0"/>
          <w:bCs w:val="0"/>
          <w:color w:val="auto"/>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7.加快办理竣工验收及交接手续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8.尽快落实优待目录清单，让优抚对象尽快享受到应有待遇。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9.进一步健全“阳光安置”工作机制</w:t>
      </w:r>
    </w:p>
    <w:p>
      <w:pPr>
        <w:keepNext w:val="0"/>
        <w:keepLines w:val="0"/>
        <w:pageBreakBefore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kern w:val="0"/>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b w:val="0"/>
          <w:bCs w:val="0"/>
          <w:kern w:val="0"/>
          <w:sz w:val="24"/>
          <w:szCs w:val="24"/>
          <w:highlight w:val="none"/>
          <w:lang w:val="en-US" w:eastAsia="zh-CN"/>
        </w:rPr>
        <w:t>具体内容见《云溪区退役军人事务局2022年整体支出绩效评价报告》</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outlineLvl w:val="0"/>
        <w:rPr>
          <w:rFonts w:hint="eastAsia" w:ascii="宋体" w:hAnsi="宋体" w:eastAsia="宋体" w:cs="宋体"/>
          <w:b/>
          <w:bCs/>
          <w:sz w:val="24"/>
          <w:szCs w:val="24"/>
        </w:rPr>
      </w:pPr>
    </w:p>
    <w:p>
      <w:pPr>
        <w:keepNext w:val="0"/>
        <w:keepLines w:val="0"/>
        <w:pageBreakBefore w:val="0"/>
        <w:numPr>
          <w:ilvl w:val="0"/>
          <w:numId w:val="0"/>
        </w:numPr>
        <w:kinsoku/>
        <w:wordWrap/>
        <w:overflowPunct/>
        <w:topLinePunct w:val="0"/>
        <w:autoSpaceDE/>
        <w:autoSpaceDN/>
        <w:bidi w:val="0"/>
        <w:adjustRightInd/>
        <w:snapToGrid/>
        <w:spacing w:line="460" w:lineRule="exact"/>
        <w:ind w:firstLine="2880" w:firstLineChars="1200"/>
        <w:textAlignment w:val="auto"/>
        <w:outlineLvl w:val="0"/>
        <w:rPr>
          <w:rFonts w:hint="eastAsia" w:ascii="宋体" w:hAnsi="宋体" w:eastAsia="宋体" w:cs="宋体"/>
          <w:b w:val="0"/>
          <w:bCs w:val="0"/>
          <w:sz w:val="24"/>
          <w:szCs w:val="24"/>
        </w:rPr>
      </w:pPr>
    </w:p>
    <w:p>
      <w:pPr>
        <w:keepNext w:val="0"/>
        <w:keepLines w:val="0"/>
        <w:pageBreakBefore w:val="0"/>
        <w:numPr>
          <w:ilvl w:val="0"/>
          <w:numId w:val="0"/>
        </w:numPr>
        <w:kinsoku/>
        <w:wordWrap/>
        <w:overflowPunct/>
        <w:topLinePunct w:val="0"/>
        <w:autoSpaceDE/>
        <w:bidi w:val="0"/>
        <w:adjustRightInd/>
        <w:snapToGrid/>
        <w:spacing w:line="460" w:lineRule="exact"/>
        <w:ind w:firstLine="2891" w:firstLineChars="1200"/>
        <w:outlineLvl w:val="0"/>
        <w:rPr>
          <w:rFonts w:hint="eastAsia" w:ascii="宋体" w:hAnsi="宋体" w:eastAsia="宋体" w:cs="宋体"/>
          <w:b/>
          <w:sz w:val="24"/>
          <w:szCs w:val="24"/>
        </w:rPr>
      </w:pPr>
    </w:p>
    <w:p>
      <w:pPr>
        <w:numPr>
          <w:ilvl w:val="0"/>
          <w:numId w:val="0"/>
        </w:numPr>
        <w:spacing w:line="240" w:lineRule="atLeast"/>
        <w:ind w:firstLine="3614" w:firstLineChars="1200"/>
        <w:outlineLvl w:val="0"/>
        <w:rPr>
          <w:rFonts w:hint="eastAsia" w:ascii="宋体" w:hAnsi="宋体"/>
          <w:b/>
          <w:sz w:val="30"/>
          <w:szCs w:val="30"/>
        </w:rPr>
      </w:pPr>
    </w:p>
    <w:p>
      <w:pPr>
        <w:numPr>
          <w:ilvl w:val="0"/>
          <w:numId w:val="0"/>
        </w:numPr>
        <w:spacing w:line="240" w:lineRule="atLeast"/>
        <w:ind w:firstLine="3614" w:firstLineChars="1200"/>
        <w:outlineLvl w:val="0"/>
        <w:rPr>
          <w:rFonts w:hint="eastAsia" w:ascii="宋体" w:hAnsi="宋体"/>
          <w:b/>
          <w:sz w:val="30"/>
          <w:szCs w:val="30"/>
        </w:rPr>
      </w:pPr>
    </w:p>
    <w:p>
      <w:pPr>
        <w:numPr>
          <w:ilvl w:val="0"/>
          <w:numId w:val="0"/>
        </w:numPr>
        <w:spacing w:line="240" w:lineRule="atLeast"/>
        <w:ind w:firstLine="3614" w:firstLineChars="1200"/>
        <w:outlineLvl w:val="0"/>
        <w:rPr>
          <w:rFonts w:hint="eastAsia" w:ascii="宋体" w:hAnsi="宋体"/>
          <w:b/>
          <w:sz w:val="30"/>
          <w:szCs w:val="30"/>
        </w:rPr>
      </w:pPr>
    </w:p>
    <w:p>
      <w:pPr>
        <w:numPr>
          <w:ilvl w:val="0"/>
          <w:numId w:val="0"/>
        </w:numPr>
        <w:spacing w:line="240" w:lineRule="atLeast"/>
        <w:ind w:firstLine="3614" w:firstLineChars="1200"/>
        <w:outlineLvl w:val="0"/>
        <w:rPr>
          <w:rFonts w:hint="eastAsia" w:ascii="宋体" w:hAnsi="宋体"/>
          <w:b/>
          <w:sz w:val="30"/>
          <w:szCs w:val="30"/>
        </w:rPr>
      </w:pPr>
    </w:p>
    <w:p>
      <w:pPr>
        <w:numPr>
          <w:ilvl w:val="0"/>
          <w:numId w:val="0"/>
        </w:numPr>
        <w:spacing w:line="240" w:lineRule="atLeast"/>
        <w:ind w:firstLine="3915" w:firstLineChars="1300"/>
        <w:jc w:val="distribute"/>
        <w:outlineLvl w:val="0"/>
        <w:rPr>
          <w:rFonts w:hint="eastAsia" w:ascii="宋体" w:hAnsi="宋体"/>
          <w:b/>
          <w:sz w:val="30"/>
          <w:szCs w:val="30"/>
        </w:rPr>
      </w:pPr>
    </w:p>
    <w:p>
      <w:pPr>
        <w:numPr>
          <w:ilvl w:val="0"/>
          <w:numId w:val="0"/>
        </w:numPr>
        <w:spacing w:line="240" w:lineRule="atLeast"/>
        <w:jc w:val="center"/>
        <w:outlineLvl w:val="0"/>
        <w:rPr>
          <w:rFonts w:hint="eastAsia" w:ascii="宋体" w:hAnsi="宋体"/>
          <w:b/>
          <w:sz w:val="30"/>
          <w:szCs w:val="30"/>
        </w:rPr>
      </w:pPr>
    </w:p>
    <w:p>
      <w:pPr>
        <w:numPr>
          <w:ilvl w:val="0"/>
          <w:numId w:val="0"/>
        </w:numPr>
        <w:spacing w:line="240" w:lineRule="atLeast"/>
        <w:jc w:val="center"/>
        <w:outlineLvl w:val="0"/>
        <w:rPr>
          <w:rFonts w:hint="eastAsia" w:ascii="宋体" w:hAnsi="宋体"/>
          <w:b/>
          <w:sz w:val="30"/>
          <w:szCs w:val="30"/>
        </w:rPr>
      </w:pPr>
    </w:p>
    <w:p>
      <w:pPr>
        <w:numPr>
          <w:ilvl w:val="0"/>
          <w:numId w:val="0"/>
        </w:numPr>
        <w:spacing w:line="240" w:lineRule="atLeast"/>
        <w:jc w:val="center"/>
        <w:outlineLvl w:val="0"/>
        <w:rPr>
          <w:rFonts w:hint="eastAsia" w:ascii="宋体" w:hAnsi="宋体"/>
          <w:b/>
          <w:sz w:val="30"/>
          <w:szCs w:val="30"/>
        </w:rPr>
      </w:pPr>
    </w:p>
    <w:p>
      <w:pPr>
        <w:numPr>
          <w:ilvl w:val="0"/>
          <w:numId w:val="0"/>
        </w:numPr>
        <w:spacing w:line="240" w:lineRule="atLeast"/>
        <w:jc w:val="center"/>
        <w:outlineLvl w:val="0"/>
        <w:rPr>
          <w:rFonts w:hint="eastAsia" w:ascii="宋体" w:hAnsi="宋体"/>
          <w:b/>
          <w:sz w:val="30"/>
          <w:szCs w:val="30"/>
        </w:rPr>
      </w:pPr>
    </w:p>
    <w:p>
      <w:pPr>
        <w:numPr>
          <w:ilvl w:val="0"/>
          <w:numId w:val="0"/>
        </w:numPr>
        <w:spacing w:line="240" w:lineRule="atLeast"/>
        <w:ind w:firstLine="4216" w:firstLineChars="1400"/>
        <w:jc w:val="both"/>
        <w:outlineLvl w:val="0"/>
        <w:rPr>
          <w:rFonts w:hint="eastAsia" w:ascii="宋体" w:hAnsi="宋体"/>
          <w:b/>
          <w:sz w:val="30"/>
          <w:szCs w:val="30"/>
        </w:rPr>
      </w:pPr>
    </w:p>
    <w:p>
      <w:pPr>
        <w:numPr>
          <w:ilvl w:val="0"/>
          <w:numId w:val="0"/>
        </w:numPr>
        <w:spacing w:line="240" w:lineRule="atLeast"/>
        <w:ind w:firstLine="4216" w:firstLineChars="1400"/>
        <w:jc w:val="both"/>
        <w:outlineLvl w:val="0"/>
        <w:rPr>
          <w:rFonts w:hint="eastAsia" w:ascii="宋体" w:hAnsi="宋体"/>
          <w:b/>
          <w:sz w:val="30"/>
          <w:szCs w:val="30"/>
        </w:rPr>
      </w:pPr>
    </w:p>
    <w:p>
      <w:pPr>
        <w:numPr>
          <w:ilvl w:val="0"/>
          <w:numId w:val="0"/>
        </w:numPr>
        <w:spacing w:line="240" w:lineRule="atLeast"/>
        <w:ind w:firstLine="4216" w:firstLineChars="1400"/>
        <w:jc w:val="both"/>
        <w:outlineLvl w:val="0"/>
        <w:rPr>
          <w:rFonts w:hint="default" w:eastAsia="宋体"/>
          <w:sz w:val="24"/>
          <w:lang w:val="en-US" w:eastAsia="zh-CN"/>
        </w:rPr>
      </w:pPr>
      <w:r>
        <w:rPr>
          <w:rFonts w:hint="eastAsia" w:ascii="宋体" w:hAnsi="宋体"/>
          <w:b/>
          <w:sz w:val="30"/>
          <w:szCs w:val="30"/>
        </w:rPr>
        <w:t>目</w:t>
      </w:r>
      <w:r>
        <w:rPr>
          <w:rFonts w:hint="eastAsia" w:ascii="宋体" w:hAnsi="宋体"/>
          <w:b/>
          <w:sz w:val="30"/>
          <w:szCs w:val="30"/>
          <w:lang w:val="en-US" w:eastAsia="zh-CN"/>
        </w:rPr>
        <w:t xml:space="preserve"> </w:t>
      </w:r>
      <w:r>
        <w:rPr>
          <w:rFonts w:hint="eastAsia" w:ascii="宋体" w:hAnsi="宋体"/>
          <w:b/>
          <w:sz w:val="30"/>
          <w:szCs w:val="30"/>
        </w:rPr>
        <w:t>录</w:t>
      </w:r>
    </w:p>
    <w:p>
      <w:pPr>
        <w:keepNext w:val="0"/>
        <w:keepLines w:val="0"/>
        <w:pageBreakBefore w:val="0"/>
        <w:widowControl/>
        <w:kinsoku/>
        <w:wordWrap/>
        <w:overflowPunct/>
        <w:topLinePunct w:val="0"/>
        <w:autoSpaceDE/>
        <w:autoSpaceDN/>
        <w:bidi w:val="0"/>
        <w:adjustRightInd/>
        <w:snapToGrid/>
        <w:spacing w:line="420" w:lineRule="exact"/>
        <w:ind w:firstLine="442" w:firstLineChars="200"/>
        <w:jc w:val="distribute"/>
        <w:textAlignment w:val="auto"/>
        <w:rPr>
          <w:rFonts w:hint="default" w:ascii="宋体" w:hAnsi="宋体" w:eastAsia="宋体" w:cs="宋体"/>
          <w:b/>
          <w:sz w:val="21"/>
          <w:szCs w:val="21"/>
          <w:lang w:val="en-US" w:eastAsia="zh-CN"/>
        </w:rPr>
      </w:pPr>
      <w:r>
        <w:rPr>
          <w:rFonts w:hint="eastAsia" w:ascii="宋体" w:hAnsi="宋体" w:eastAsia="宋体" w:cs="宋体"/>
          <w:b/>
          <w:sz w:val="22"/>
          <w:szCs w:val="22"/>
          <w:lang w:val="en-US" w:eastAsia="zh-CN"/>
        </w:rPr>
        <w:t>内容简介........................................................... 1</w:t>
      </w:r>
    </w:p>
    <w:p>
      <w:pPr>
        <w:keepNext w:val="0"/>
        <w:keepLines w:val="0"/>
        <w:pageBreakBefore w:val="0"/>
        <w:widowControl/>
        <w:kinsoku/>
        <w:wordWrap/>
        <w:overflowPunct/>
        <w:topLinePunct w:val="0"/>
        <w:autoSpaceDE/>
        <w:autoSpaceDN/>
        <w:bidi w:val="0"/>
        <w:adjustRightInd/>
        <w:snapToGrid/>
        <w:spacing w:line="420" w:lineRule="exact"/>
        <w:ind w:firstLine="422" w:firstLineChars="200"/>
        <w:jc w:val="distribute"/>
        <w:textAlignment w:val="auto"/>
        <w:rPr>
          <w:rFonts w:hint="default" w:ascii="宋体" w:hAnsi="宋体" w:eastAsia="宋体" w:cs="宋体"/>
          <w:b/>
          <w:sz w:val="21"/>
          <w:szCs w:val="21"/>
          <w:lang w:val="en-US" w:eastAsia="zh-CN"/>
        </w:rPr>
      </w:pPr>
      <w:r>
        <w:rPr>
          <w:rFonts w:hint="eastAsia" w:ascii="宋体" w:hAnsi="宋体" w:eastAsia="宋体" w:cs="宋体"/>
          <w:b/>
          <w:sz w:val="21"/>
          <w:szCs w:val="21"/>
        </w:rPr>
        <w:t>一、基本情况</w:t>
      </w:r>
      <w:r>
        <w:rPr>
          <w:rFonts w:hint="eastAsia" w:ascii="宋体" w:hAnsi="宋体" w:eastAsia="宋体" w:cs="宋体"/>
          <w:b/>
          <w:sz w:val="21"/>
          <w:szCs w:val="21"/>
          <w:lang w:val="en-US" w:eastAsia="zh-CN"/>
        </w:rPr>
        <w:t>.........................................................   1</w:t>
      </w:r>
    </w:p>
    <w:p>
      <w:pPr>
        <w:keepNext w:val="0"/>
        <w:keepLines w:val="0"/>
        <w:pageBreakBefore w:val="0"/>
        <w:widowControl/>
        <w:kinsoku/>
        <w:wordWrap/>
        <w:overflowPunct/>
        <w:topLinePunct w:val="0"/>
        <w:autoSpaceDE/>
        <w:autoSpaceDN/>
        <w:bidi w:val="0"/>
        <w:adjustRightInd/>
        <w:snapToGrid/>
        <w:spacing w:line="420" w:lineRule="exact"/>
        <w:ind w:firstLine="315" w:firstLineChars="150"/>
        <w:jc w:val="distribute"/>
        <w:textAlignment w:val="auto"/>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单位</w:t>
      </w:r>
      <w:r>
        <w:rPr>
          <w:rFonts w:hint="eastAsia" w:ascii="宋体" w:hAnsi="宋体" w:eastAsia="宋体" w:cs="宋体"/>
          <w:sz w:val="21"/>
          <w:szCs w:val="21"/>
          <w:lang w:val="en-US" w:eastAsia="zh-CN"/>
        </w:rPr>
        <w:t>基本情况</w:t>
      </w:r>
      <w:r>
        <w:rPr>
          <w:rFonts w:hint="eastAsia" w:ascii="宋体" w:hAnsi="宋体" w:eastAsia="宋体" w:cs="宋体"/>
          <w:sz w:val="21"/>
          <w:szCs w:val="21"/>
          <w:lang w:eastAsia="zh-CN"/>
        </w:rPr>
        <w:t>情况</w:t>
      </w:r>
      <w:r>
        <w:rPr>
          <w:rFonts w:hint="eastAsia" w:ascii="宋体" w:hAnsi="宋体" w:eastAsia="宋体" w:cs="宋体"/>
          <w:sz w:val="21"/>
          <w:szCs w:val="21"/>
          <w:lang w:val="en-US" w:eastAsia="zh-CN"/>
        </w:rPr>
        <w:t>...................................................1</w:t>
      </w:r>
    </w:p>
    <w:p>
      <w:pPr>
        <w:keepNext w:val="0"/>
        <w:keepLines w:val="0"/>
        <w:pageBreakBefore w:val="0"/>
        <w:widowControl/>
        <w:kinsoku/>
        <w:wordWrap/>
        <w:overflowPunct/>
        <w:topLinePunct w:val="0"/>
        <w:autoSpaceDE/>
        <w:autoSpaceDN/>
        <w:bidi w:val="0"/>
        <w:adjustRightInd/>
        <w:snapToGrid/>
        <w:spacing w:line="420" w:lineRule="exact"/>
        <w:jc w:val="distribute"/>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单位</w:t>
      </w:r>
      <w:r>
        <w:rPr>
          <w:rFonts w:hint="eastAsia" w:ascii="宋体" w:hAnsi="宋体" w:eastAsia="宋体" w:cs="宋体"/>
          <w:sz w:val="21"/>
          <w:szCs w:val="21"/>
        </w:rPr>
        <w:t>主要职</w:t>
      </w:r>
      <w:r>
        <w:rPr>
          <w:rFonts w:hint="eastAsia" w:ascii="宋体" w:hAnsi="宋体" w:eastAsia="宋体" w:cs="宋体"/>
          <w:sz w:val="21"/>
          <w:szCs w:val="21"/>
          <w:lang w:eastAsia="zh-CN"/>
        </w:rPr>
        <w:t>责</w:t>
      </w:r>
      <w:r>
        <w:rPr>
          <w:rFonts w:hint="eastAsia" w:ascii="宋体" w:hAnsi="宋体" w:eastAsia="宋体" w:cs="宋体"/>
          <w:sz w:val="21"/>
          <w:szCs w:val="21"/>
          <w:lang w:val="en-US" w:eastAsia="zh-CN"/>
        </w:rPr>
        <w:t>.......................................................2</w:t>
      </w:r>
    </w:p>
    <w:p>
      <w:pPr>
        <w:keepNext w:val="0"/>
        <w:keepLines w:val="0"/>
        <w:pageBreakBefore w:val="0"/>
        <w:widowControl/>
        <w:kinsoku/>
        <w:wordWrap/>
        <w:overflowPunct/>
        <w:topLinePunct w:val="0"/>
        <w:autoSpaceDE/>
        <w:autoSpaceDN/>
        <w:bidi w:val="0"/>
        <w:adjustRightInd/>
        <w:snapToGrid/>
        <w:spacing w:line="420" w:lineRule="exact"/>
        <w:ind w:firstLine="315" w:firstLineChars="150"/>
        <w:jc w:val="distribute"/>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2022年绩效目标...................................................... 3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2" w:firstLineChars="200"/>
        <w:jc w:val="distribute"/>
        <w:textAlignment w:val="auto"/>
        <w:rPr>
          <w:rFonts w:hint="default" w:ascii="宋体" w:hAnsi="宋体" w:eastAsia="宋体" w:cs="宋体"/>
          <w:b/>
          <w:sz w:val="21"/>
          <w:szCs w:val="21"/>
          <w:lang w:val="en-US"/>
        </w:rPr>
      </w:pPr>
      <w:r>
        <w:rPr>
          <w:rFonts w:hint="eastAsia" w:ascii="宋体" w:hAnsi="宋体" w:eastAsia="宋体" w:cs="宋体"/>
          <w:b/>
          <w:sz w:val="21"/>
          <w:szCs w:val="21"/>
        </w:rPr>
        <w:t>二、</w:t>
      </w:r>
      <w:r>
        <w:rPr>
          <w:rFonts w:hint="eastAsia" w:ascii="宋体" w:hAnsi="宋体" w:eastAsia="宋体" w:cs="宋体"/>
          <w:b/>
          <w:sz w:val="21"/>
          <w:szCs w:val="21"/>
          <w:lang w:val="en-US" w:eastAsia="zh-CN"/>
        </w:rPr>
        <w:t>部门整体</w:t>
      </w:r>
      <w:r>
        <w:rPr>
          <w:rFonts w:hint="eastAsia" w:ascii="宋体" w:hAnsi="宋体" w:eastAsia="宋体" w:cs="宋体"/>
          <w:b/>
          <w:sz w:val="21"/>
          <w:szCs w:val="21"/>
          <w:highlight w:val="none"/>
          <w:lang w:val="en-US" w:eastAsia="zh-CN"/>
        </w:rPr>
        <w:t>支出情况 ...............................................   7</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distribute"/>
        <w:textAlignment w:val="auto"/>
        <w:rPr>
          <w:rFonts w:hint="default" w:ascii="宋体" w:hAnsi="宋体" w:eastAsia="宋体" w:cs="宋体"/>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一）2022年</w:t>
      </w:r>
      <w:r>
        <w:rPr>
          <w:rFonts w:hint="eastAsia" w:ascii="宋体" w:hAnsi="宋体" w:eastAsia="宋体" w:cs="宋体"/>
          <w:sz w:val="21"/>
          <w:szCs w:val="21"/>
          <w:lang w:val="en-US" w:eastAsia="zh-CN"/>
        </w:rPr>
        <w:t>预算指标下达情况</w:t>
      </w:r>
      <w:r>
        <w:rPr>
          <w:rFonts w:hint="eastAsia" w:ascii="宋体" w:hAnsi="宋体" w:eastAsia="宋体" w:cs="宋体"/>
          <w:b w:val="0"/>
          <w:bCs/>
          <w:color w:val="000000"/>
          <w:sz w:val="21"/>
          <w:szCs w:val="21"/>
          <w:lang w:val="en-US" w:eastAsia="zh-CN"/>
        </w:rPr>
        <w:t>........................................... 7</w:t>
      </w:r>
    </w:p>
    <w:p>
      <w:pPr>
        <w:keepNext w:val="0"/>
        <w:keepLines w:val="0"/>
        <w:pageBreakBefore w:val="0"/>
        <w:widowControl/>
        <w:kinsoku/>
        <w:wordWrap/>
        <w:overflowPunct/>
        <w:topLinePunct w:val="0"/>
        <w:autoSpaceDE/>
        <w:autoSpaceDN/>
        <w:bidi w:val="0"/>
        <w:adjustRightInd/>
        <w:snapToGrid/>
        <w:spacing w:line="420" w:lineRule="exact"/>
        <w:ind w:left="480" w:hanging="420" w:hangingChars="200"/>
        <w:jc w:val="distribute"/>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预算收入情况分析</w:t>
      </w:r>
      <w:r>
        <w:rPr>
          <w:rFonts w:hint="eastAsia" w:ascii="宋体" w:hAnsi="宋体" w:eastAsia="宋体" w:cs="宋体"/>
          <w:b w:val="0"/>
          <w:bCs/>
          <w:color w:val="000000"/>
          <w:sz w:val="21"/>
          <w:szCs w:val="21"/>
          <w:lang w:val="en-US" w:eastAsia="zh-CN"/>
        </w:rPr>
        <w:t>..................................................... 8</w:t>
      </w:r>
    </w:p>
    <w:p>
      <w:pPr>
        <w:keepNext w:val="0"/>
        <w:keepLines w:val="0"/>
        <w:pageBreakBefore w:val="0"/>
        <w:widowControl/>
        <w:kinsoku/>
        <w:wordWrap/>
        <w:overflowPunct/>
        <w:topLinePunct w:val="0"/>
        <w:autoSpaceDE/>
        <w:autoSpaceDN/>
        <w:bidi w:val="0"/>
        <w:adjustRightInd/>
        <w:snapToGrid/>
        <w:spacing w:line="420" w:lineRule="exact"/>
        <w:ind w:left="480" w:hanging="420" w:hangingChars="200"/>
        <w:jc w:val="distribute"/>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（三）预算支出情况分析..................................................8</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distribute"/>
        <w:textAlignment w:val="auto"/>
        <w:rPr>
          <w:rFonts w:hint="default" w:eastAsia="宋体"/>
          <w:b/>
          <w:bCs/>
          <w:sz w:val="21"/>
          <w:szCs w:val="21"/>
          <w:lang w:val="en-US" w:eastAsia="zh-CN"/>
        </w:rPr>
      </w:pPr>
      <w:r>
        <w:rPr>
          <w:rFonts w:hint="eastAsia"/>
          <w:b/>
          <w:bCs/>
          <w:sz w:val="21"/>
          <w:szCs w:val="21"/>
          <w:lang w:val="en-US" w:eastAsia="zh-CN"/>
        </w:rPr>
        <w:t>三</w:t>
      </w:r>
      <w:r>
        <w:rPr>
          <w:rFonts w:hint="eastAsia"/>
          <w:b/>
          <w:bCs/>
          <w:sz w:val="21"/>
          <w:szCs w:val="21"/>
        </w:rPr>
        <w:t>、绩效评价工作情况</w:t>
      </w:r>
      <w:r>
        <w:rPr>
          <w:rFonts w:hint="eastAsia"/>
          <w:b/>
          <w:bCs/>
          <w:sz w:val="21"/>
          <w:szCs w:val="21"/>
          <w:lang w:val="en-US" w:eastAsia="zh-CN"/>
        </w:rPr>
        <w:t>........................................................................................................18</w:t>
      </w:r>
    </w:p>
    <w:p>
      <w:pPr>
        <w:keepNext w:val="0"/>
        <w:keepLines w:val="0"/>
        <w:pageBreakBefore w:val="0"/>
        <w:widowControl w:val="0"/>
        <w:kinsoku/>
        <w:wordWrap/>
        <w:overflowPunct/>
        <w:topLinePunct w:val="0"/>
        <w:autoSpaceDE/>
        <w:autoSpaceDN/>
        <w:bidi w:val="0"/>
        <w:adjustRightInd/>
        <w:snapToGrid/>
        <w:spacing w:line="420" w:lineRule="exact"/>
        <w:ind w:firstLine="420"/>
        <w:jc w:val="distribute"/>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 xml:space="preserve"> (一)绩效评价依据 .</w:t>
      </w:r>
      <w:r>
        <w:rPr>
          <w:rFonts w:hint="eastAsia" w:ascii="宋体" w:hAnsi="宋体" w:eastAsia="宋体" w:cs="宋体"/>
          <w:b w:val="0"/>
          <w:bCs w:val="0"/>
          <w:sz w:val="24"/>
          <w:szCs w:val="24"/>
          <w:lang w:val="en-US" w:eastAsia="zh-CN"/>
        </w:rPr>
        <w:t>............................................. 18</w:t>
      </w:r>
    </w:p>
    <w:p>
      <w:pPr>
        <w:keepNext w:val="0"/>
        <w:keepLines w:val="0"/>
        <w:pageBreakBefore w:val="0"/>
        <w:widowControl w:val="0"/>
        <w:kinsoku/>
        <w:wordWrap/>
        <w:overflowPunct/>
        <w:topLinePunct w:val="0"/>
        <w:autoSpaceDE/>
        <w:autoSpaceDN/>
        <w:bidi w:val="0"/>
        <w:adjustRightInd/>
        <w:snapToGrid/>
        <w:spacing w:line="420" w:lineRule="exact"/>
        <w:ind w:firstLine="420"/>
        <w:jc w:val="distribute"/>
        <w:textAlignment w:val="auto"/>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w:t>
      </w:r>
      <w:r>
        <w:rPr>
          <w:rFonts w:hint="eastAsia" w:ascii="宋体" w:hAnsi="宋体" w:eastAsia="宋体" w:cs="宋体"/>
          <w:sz w:val="21"/>
          <w:szCs w:val="21"/>
          <w:lang w:val="en-US" w:eastAsia="zh-CN"/>
        </w:rPr>
        <w:t>二）绩效评价目的.....................................................18</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distribute"/>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（三）评价原则、指标评价体系、评价标准及方法..................................18</w:t>
      </w:r>
    </w:p>
    <w:p>
      <w:pPr>
        <w:keepNext w:val="0"/>
        <w:keepLines w:val="0"/>
        <w:pageBreakBefore w:val="0"/>
        <w:widowControl w:val="0"/>
        <w:kinsoku/>
        <w:wordWrap/>
        <w:overflowPunct/>
        <w:topLinePunct w:val="0"/>
        <w:autoSpaceDE/>
        <w:autoSpaceDN/>
        <w:bidi w:val="0"/>
        <w:adjustRightInd/>
        <w:snapToGrid/>
        <w:spacing w:line="420" w:lineRule="exact"/>
        <w:ind w:firstLine="420"/>
        <w:jc w:val="distribute"/>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（四）绩效评价过程......................................................19</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3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bCs w:val="0"/>
          <w:color w:val="000000"/>
          <w:sz w:val="21"/>
          <w:szCs w:val="21"/>
          <w:lang w:val="en-US" w:eastAsia="zh-CN"/>
        </w:rPr>
        <w:t>四、绩效评价指标分析.................................................21</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一）资金投入方面..................................................... 21</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（二）过程管理方面......................................................22</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 xml:space="preserve">（三）绩效目标完成及效果............................................... 24      </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3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bCs w:val="0"/>
          <w:color w:val="000000"/>
          <w:sz w:val="21"/>
          <w:szCs w:val="21"/>
          <w:lang w:val="en-US" w:eastAsia="zh-CN"/>
        </w:rPr>
        <w:t>五、主要绩效及评价结论...............................................26</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（一）评价结论....................................................... 26</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（二）主要绩效....................................................... 27</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300"/>
        <w:jc w:val="distribute"/>
        <w:textAlignment w:val="auto"/>
        <w:rPr>
          <w:rFonts w:hint="default"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六、存在问题及建议...................................................29</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（一）存在问题........................................................29</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jc w:val="distribute"/>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（二）相关建议........................................................33</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300"/>
        <w:jc w:val="distribute"/>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七、其他需说明的问题..................................................36</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300"/>
        <w:jc w:val="distribute"/>
        <w:textAlignment w:val="auto"/>
        <w:rPr>
          <w:rFonts w:hint="default" w:ascii="宋体" w:hAnsi="宋体" w:eastAsia="宋体" w:cs="宋体"/>
          <w:b/>
          <w:bCs w:val="0"/>
          <w:color w:val="000000"/>
          <w:sz w:val="21"/>
          <w:szCs w:val="21"/>
          <w:lang w:val="en-US" w:eastAsia="zh-CN"/>
        </w:rPr>
        <w:sectPr>
          <w:headerReference r:id="rId5" w:type="default"/>
          <w:footerReference r:id="rId6" w:type="default"/>
          <w:pgSz w:w="11906" w:h="16838"/>
          <w:pgMar w:top="1440" w:right="1644" w:bottom="124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val="0"/>
          <w:color w:val="000000"/>
          <w:sz w:val="21"/>
          <w:szCs w:val="21"/>
          <w:lang w:val="en-US" w:eastAsia="zh-CN"/>
        </w:rPr>
        <w:t>八、附件..........................................................37</w:t>
      </w:r>
    </w:p>
    <w:p>
      <w:pPr>
        <w:tabs>
          <w:tab w:val="left" w:pos="2835"/>
          <w:tab w:val="left" w:pos="4725"/>
        </w:tabs>
        <w:spacing w:line="940" w:lineRule="exact"/>
        <w:ind w:firstLine="601" w:firstLineChars="100"/>
        <w:outlineLvl w:val="1"/>
        <w:rPr>
          <w:rFonts w:hint="eastAsia"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hint="eastAsia"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hint="eastAsia" w:ascii="楷体_GB2312" w:hAnsi="宋体" w:eastAsia="楷体_GB2312"/>
          <w:b/>
          <w:color w:val="auto"/>
          <w:spacing w:val="20"/>
          <w:sz w:val="36"/>
          <w:szCs w:val="36"/>
        </w:rPr>
      </w:pPr>
      <w:r>
        <w:rPr>
          <w:rFonts w:hint="eastAsia" w:ascii="楷体_GB2312" w:hAnsi="宋体" w:eastAsia="楷体_GB2312"/>
          <w:b/>
          <w:color w:val="auto"/>
          <w:spacing w:val="20"/>
          <w:sz w:val="36"/>
          <w:szCs w:val="36"/>
        </w:rPr>
        <w:t>湘恒兴专审字（20</w:t>
      </w:r>
      <w:r>
        <w:rPr>
          <w:rFonts w:hint="eastAsia" w:ascii="楷体_GB2312" w:hAnsi="宋体" w:eastAsia="楷体_GB2312"/>
          <w:b/>
          <w:color w:val="auto"/>
          <w:spacing w:val="20"/>
          <w:sz w:val="36"/>
          <w:szCs w:val="36"/>
          <w:lang w:val="en-US" w:eastAsia="zh-CN"/>
        </w:rPr>
        <w:t>23</w:t>
      </w:r>
      <w:r>
        <w:rPr>
          <w:rFonts w:hint="eastAsia" w:ascii="楷体_GB2312" w:hAnsi="宋体" w:eastAsia="楷体_GB2312"/>
          <w:b/>
          <w:color w:val="auto"/>
          <w:spacing w:val="20"/>
          <w:sz w:val="36"/>
          <w:szCs w:val="36"/>
        </w:rPr>
        <w:t>）第0</w:t>
      </w:r>
      <w:r>
        <w:rPr>
          <w:rFonts w:hint="eastAsia" w:ascii="楷体_GB2312" w:hAnsi="宋体" w:eastAsia="楷体_GB2312"/>
          <w:b/>
          <w:color w:val="auto"/>
          <w:spacing w:val="20"/>
          <w:sz w:val="36"/>
          <w:szCs w:val="36"/>
          <w:lang w:val="en-US" w:eastAsia="zh-CN"/>
        </w:rPr>
        <w:t>52</w:t>
      </w:r>
      <w:r>
        <w:rPr>
          <w:rFonts w:hint="eastAsia" w:ascii="楷体_GB2312" w:hAnsi="宋体" w:eastAsia="楷体_GB2312"/>
          <w:b/>
          <w:color w:val="auto"/>
          <w:spacing w:val="20"/>
          <w:sz w:val="36"/>
          <w:szCs w:val="36"/>
        </w:rPr>
        <w:t>号</w:t>
      </w:r>
    </w:p>
    <w:p>
      <w:pPr>
        <w:spacing w:line="760" w:lineRule="exact"/>
        <w:jc w:val="center"/>
        <w:outlineLvl w:val="0"/>
        <w:rPr>
          <w:rFonts w:hint="eastAsia" w:ascii="黑体" w:hAnsi="宋体" w:eastAsia="黑体"/>
          <w:b/>
          <w:sz w:val="32"/>
          <w:szCs w:val="32"/>
        </w:rPr>
      </w:pPr>
      <w:r>
        <w:rPr>
          <w:rFonts w:ascii="宋体" w:hAnsi="宋体"/>
          <w:b/>
          <w:sz w:val="32"/>
          <w:szCs w:val="32"/>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43180</wp:posOffset>
                </wp:positionV>
                <wp:extent cx="5400675" cy="0"/>
                <wp:effectExtent l="0" t="4445" r="0" b="5080"/>
                <wp:wrapTight wrapText="bothSides">
                  <wp:wrapPolygon>
                    <wp:start x="0" y="0"/>
                    <wp:lineTo x="21600" y="0"/>
                    <wp:lineTo x="0" y="0"/>
                  </wp:wrapPolygon>
                </wp:wrapTight>
                <wp:docPr id="1" name="直线 11"/>
                <wp:cNvGraphicFramePr/>
                <a:graphic xmlns:a="http://schemas.openxmlformats.org/drawingml/2006/main">
                  <a:graphicData uri="http://schemas.microsoft.com/office/word/2010/wordprocessingShape">
                    <wps:wsp>
                      <wps:cNvSpPr/>
                      <wps:spPr>
                        <a:xfrm>
                          <a:off x="0" y="0"/>
                          <a:ext cx="5400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25pt;margin-top:3.4pt;height:0pt;width:425.25pt;mso-wrap-distance-left:9pt;mso-wrap-distance-right:9pt;z-index:251659264;mso-width-relative:page;mso-height-relative:page;" filled="f" stroked="t" coordsize="21600,21600" wrapcoords="0 0 21600 0 0 0" o:allowincell="f" o:gfxdata="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4Yym0gAAAAYBAAAP&#10;AAAAAAAAAAEAIAAAACIAAABkcnMvZG93bnJldi54bWxQSwECFAAUAAAACACHTuJAemNNxOUBAADc&#10;AwAADgAAAAAAAAABACAAAAAhAQAAZHJzL2Uyb0RvYy54bWxQSwUGAAAAAAYABgBZAQAAeAUAAAAA&#10;">
                <v:fill on="f" focussize="0,0"/>
                <v:stroke color="#000000" joinstyle="round"/>
                <v:imagedata o:title=""/>
                <o:lock v:ext="edit" aspectratio="f"/>
                <w10:wrap type="tight"/>
              </v:line>
            </w:pict>
          </mc:Fallback>
        </mc:AlternateContent>
      </w:r>
      <w:r>
        <w:rPr>
          <w:rFonts w:hint="eastAsia" w:ascii="黑体" w:hAnsi="宋体" w:eastAsia="黑体"/>
          <w:b/>
          <w:sz w:val="32"/>
          <w:szCs w:val="32"/>
        </w:rPr>
        <w:t>岳阳市云溪区退役军人事务局202</w:t>
      </w:r>
      <w:r>
        <w:rPr>
          <w:rFonts w:hint="eastAsia" w:ascii="黑体" w:hAnsi="宋体" w:eastAsia="黑体"/>
          <w:b/>
          <w:sz w:val="32"/>
          <w:szCs w:val="32"/>
          <w:lang w:val="en-US" w:eastAsia="zh-CN"/>
        </w:rPr>
        <w:t>2</w:t>
      </w:r>
      <w:r>
        <w:rPr>
          <w:rFonts w:hint="eastAsia" w:ascii="黑体" w:hAnsi="宋体" w:eastAsia="黑体"/>
          <w:b/>
          <w:sz w:val="32"/>
          <w:szCs w:val="32"/>
        </w:rPr>
        <w:t>年度整体支出</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云溪区财政局：</w:t>
      </w:r>
    </w:p>
    <w:p>
      <w:pPr>
        <w:keepNext w:val="0"/>
        <w:keepLines w:val="0"/>
        <w:pageBreakBefore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接受贵局委托，</w:t>
      </w:r>
      <w:r>
        <w:rPr>
          <w:rFonts w:hint="eastAsia" w:ascii="宋体" w:hAnsi="宋体" w:eastAsia="宋体" w:cs="宋体"/>
          <w:sz w:val="28"/>
          <w:szCs w:val="28"/>
          <w:lang w:val="en-US" w:eastAsia="zh-CN"/>
        </w:rPr>
        <w:t>湖南恒兴联合会计师事务所（普通合伙）（以下简称：</w:t>
      </w:r>
      <w:r>
        <w:rPr>
          <w:rFonts w:hint="eastAsia" w:ascii="宋体" w:hAnsi="宋体" w:eastAsia="宋体" w:cs="宋体"/>
          <w:sz w:val="28"/>
          <w:szCs w:val="28"/>
        </w:rPr>
        <w:t>我所</w:t>
      </w:r>
      <w:r>
        <w:rPr>
          <w:rFonts w:hint="eastAsia" w:ascii="宋体" w:hAnsi="宋体" w:eastAsia="宋体" w:cs="宋体"/>
          <w:sz w:val="28"/>
          <w:szCs w:val="28"/>
          <w:lang w:eastAsia="zh-CN"/>
        </w:rPr>
        <w:t>）</w:t>
      </w:r>
      <w:r>
        <w:rPr>
          <w:rFonts w:hint="eastAsia" w:ascii="宋体" w:hAnsi="宋体" w:eastAsia="宋体" w:cs="宋体"/>
          <w:sz w:val="28"/>
          <w:szCs w:val="28"/>
        </w:rPr>
        <w:t>对</w:t>
      </w:r>
      <w:r>
        <w:rPr>
          <w:rFonts w:hint="eastAsia" w:ascii="宋体" w:hAnsi="宋体" w:eastAsia="宋体" w:cs="宋体"/>
          <w:sz w:val="28"/>
          <w:szCs w:val="28"/>
          <w:lang w:val="en-US" w:eastAsia="zh-CN"/>
        </w:rPr>
        <w:t>岳阳市云溪区退役军人事务局（</w:t>
      </w:r>
      <w:r>
        <w:rPr>
          <w:rFonts w:hint="eastAsia" w:ascii="宋体" w:hAnsi="宋体" w:eastAsia="宋体" w:cs="宋体"/>
          <w:bCs/>
          <w:sz w:val="28"/>
          <w:szCs w:val="28"/>
          <w:lang w:eastAsia="zh-CN"/>
        </w:rPr>
        <w:t>以下简称：</w:t>
      </w:r>
      <w:r>
        <w:rPr>
          <w:rFonts w:hint="eastAsia" w:ascii="宋体" w:hAnsi="宋体" w:eastAsia="宋体" w:cs="宋体"/>
          <w:b w:val="0"/>
          <w:bCs w:val="0"/>
          <w:sz w:val="28"/>
          <w:szCs w:val="28"/>
          <w:lang w:eastAsia="zh-CN"/>
        </w:rPr>
        <w:t>区</w:t>
      </w:r>
      <w:r>
        <w:rPr>
          <w:rFonts w:hint="eastAsia" w:ascii="宋体" w:hAnsi="宋体" w:eastAsia="宋体" w:cs="宋体"/>
          <w:sz w:val="28"/>
          <w:szCs w:val="28"/>
          <w:lang w:val="en-US" w:eastAsia="zh-CN"/>
        </w:rPr>
        <w:t>退役军人事务局</w:t>
      </w:r>
      <w:r>
        <w:rPr>
          <w:rFonts w:hint="eastAsia" w:ascii="宋体" w:hAnsi="宋体" w:eastAsia="宋体" w:cs="宋体"/>
          <w:bCs/>
          <w:sz w:val="28"/>
          <w:szCs w:val="28"/>
          <w:lang w:eastAsia="zh-CN"/>
        </w:rPr>
        <w:t>）</w:t>
      </w: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度</w:t>
      </w:r>
      <w:r>
        <w:rPr>
          <w:rFonts w:hint="eastAsia" w:ascii="宋体" w:hAnsi="宋体" w:eastAsia="宋体" w:cs="宋体"/>
          <w:sz w:val="28"/>
          <w:szCs w:val="28"/>
        </w:rPr>
        <w:t>的整体支出实施</w:t>
      </w:r>
      <w:r>
        <w:rPr>
          <w:rFonts w:hint="eastAsia" w:ascii="宋体" w:hAnsi="宋体" w:eastAsia="宋体" w:cs="宋体"/>
          <w:sz w:val="28"/>
          <w:szCs w:val="28"/>
          <w:lang w:eastAsia="zh-CN"/>
        </w:rPr>
        <w:t>重点</w:t>
      </w:r>
      <w:r>
        <w:rPr>
          <w:rFonts w:hint="eastAsia" w:ascii="宋体" w:hAnsi="宋体" w:eastAsia="宋体" w:cs="宋体"/>
          <w:sz w:val="28"/>
          <w:szCs w:val="28"/>
        </w:rPr>
        <w:t>绩效评价。</w:t>
      </w:r>
    </w:p>
    <w:p>
      <w:pPr>
        <w:keepNext w:val="0"/>
        <w:keepLines w:val="0"/>
        <w:pageBreakBefore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b w:val="0"/>
          <w:bCs w:val="0"/>
          <w:sz w:val="28"/>
          <w:szCs w:val="28"/>
          <w:lang w:eastAsia="zh-CN"/>
        </w:rPr>
        <w:t>区</w:t>
      </w:r>
      <w:r>
        <w:rPr>
          <w:rFonts w:hint="eastAsia" w:ascii="宋体" w:hAnsi="宋体" w:eastAsia="宋体" w:cs="宋体"/>
          <w:sz w:val="28"/>
          <w:szCs w:val="28"/>
          <w:lang w:val="en-US" w:eastAsia="zh-CN"/>
        </w:rPr>
        <w:t>退役军人事务局</w:t>
      </w:r>
      <w:r>
        <w:rPr>
          <w:rFonts w:hint="eastAsia" w:ascii="宋体" w:hAnsi="宋体" w:eastAsia="宋体" w:cs="宋体"/>
          <w:sz w:val="28"/>
          <w:szCs w:val="28"/>
        </w:rPr>
        <w:t>应当对其所提供的与绩效评价相关的财务资料和其他证明材料的真实性、合法性和完整性负责。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eastAsia="宋体" w:cs="宋体"/>
          <w:bCs/>
          <w:color w:val="auto"/>
          <w:sz w:val="28"/>
          <w:szCs w:val="28"/>
          <w:lang w:val="en-US" w:eastAsia="zh-CN"/>
        </w:rPr>
        <w:t>湖南省财政厅印发</w:t>
      </w:r>
      <w:r>
        <w:rPr>
          <w:rFonts w:hint="eastAsia" w:ascii="宋体" w:hAnsi="宋体" w:eastAsia="宋体" w:cs="宋体"/>
          <w:color w:val="auto"/>
          <w:sz w:val="28"/>
          <w:szCs w:val="28"/>
        </w:rPr>
        <w:t>《</w:t>
      </w:r>
      <w:r>
        <w:rPr>
          <w:rFonts w:hint="eastAsia" w:ascii="宋体" w:hAnsi="宋体" w:eastAsia="宋体" w:cs="宋体"/>
          <w:bCs/>
          <w:color w:val="auto"/>
          <w:sz w:val="28"/>
          <w:szCs w:val="28"/>
          <w:lang w:val="en-US" w:eastAsia="zh-CN"/>
        </w:rPr>
        <w:t>湖南省预算</w:t>
      </w:r>
      <w:r>
        <w:rPr>
          <w:rFonts w:hint="eastAsia" w:ascii="宋体" w:hAnsi="宋体" w:eastAsia="宋体" w:cs="宋体"/>
          <w:bCs/>
          <w:color w:val="auto"/>
          <w:sz w:val="28"/>
          <w:szCs w:val="28"/>
        </w:rPr>
        <w:t>支出绩效</w:t>
      </w:r>
      <w:r>
        <w:rPr>
          <w:rFonts w:hint="eastAsia" w:ascii="宋体" w:hAnsi="宋体" w:eastAsia="宋体" w:cs="宋体"/>
          <w:bCs/>
          <w:color w:val="auto"/>
          <w:sz w:val="28"/>
          <w:szCs w:val="28"/>
          <w:lang w:val="en-US" w:eastAsia="zh-CN"/>
        </w:rPr>
        <w:t>管理办法</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湘财绩[2020]7号）及</w:t>
      </w:r>
      <w:r>
        <w:rPr>
          <w:rFonts w:hint="eastAsia" w:ascii="宋体" w:hAnsi="宋体" w:eastAsia="宋体" w:cs="宋体"/>
          <w:color w:val="auto"/>
          <w:sz w:val="28"/>
          <w:szCs w:val="28"/>
          <w:highlight w:val="none"/>
          <w:lang w:val="en-US" w:eastAsia="zh-CN"/>
        </w:rPr>
        <w:t>云溪区</w:t>
      </w:r>
      <w:r>
        <w:rPr>
          <w:rFonts w:hint="eastAsia" w:ascii="宋体" w:hAnsi="宋体" w:eastAsia="宋体" w:cs="宋体"/>
          <w:bCs/>
          <w:color w:val="auto"/>
          <w:sz w:val="28"/>
          <w:szCs w:val="28"/>
          <w:highlight w:val="none"/>
        </w:rPr>
        <w:t>财政局《绩效</w:t>
      </w:r>
      <w:r>
        <w:rPr>
          <w:rFonts w:hint="eastAsia" w:ascii="宋体" w:hAnsi="宋体" w:eastAsia="宋体" w:cs="宋体"/>
          <w:bCs/>
          <w:color w:val="auto"/>
          <w:sz w:val="28"/>
          <w:szCs w:val="28"/>
          <w:highlight w:val="none"/>
          <w:lang w:val="en-US" w:eastAsia="zh-CN"/>
        </w:rPr>
        <w:t>管理</w:t>
      </w:r>
      <w:r>
        <w:rPr>
          <w:rFonts w:hint="eastAsia" w:ascii="宋体" w:hAnsi="宋体" w:eastAsia="宋体" w:cs="宋体"/>
          <w:bCs/>
          <w:color w:val="auto"/>
          <w:sz w:val="28"/>
          <w:szCs w:val="28"/>
          <w:highlight w:val="none"/>
        </w:rPr>
        <w:t>业务委托</w:t>
      </w:r>
      <w:r>
        <w:rPr>
          <w:rFonts w:hint="eastAsia" w:ascii="宋体" w:hAnsi="宋体" w:eastAsia="宋体" w:cs="宋体"/>
          <w:bCs/>
          <w:color w:val="auto"/>
          <w:sz w:val="28"/>
          <w:szCs w:val="28"/>
          <w:highlight w:val="none"/>
          <w:lang w:val="en-US" w:eastAsia="zh-CN"/>
        </w:rPr>
        <w:t>协议书</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等有关要求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highlight w:val="none"/>
          <w:lang w:val="en-US" w:eastAsia="zh-CN"/>
        </w:rPr>
        <w:t>我所本着客观、公正的原则，制订绩效评价工作方案，确定了评价指标、评价标准和评</w:t>
      </w:r>
      <w:r>
        <w:rPr>
          <w:rFonts w:hint="eastAsia" w:ascii="宋体" w:hAnsi="宋体" w:eastAsia="宋体" w:cs="宋体"/>
          <w:color w:val="auto"/>
          <w:sz w:val="28"/>
          <w:szCs w:val="28"/>
          <w:lang w:val="en-US" w:eastAsia="zh-CN"/>
        </w:rPr>
        <w:t>价方法，对</w:t>
      </w:r>
      <w:r>
        <w:rPr>
          <w:rFonts w:hint="eastAsia" w:ascii="宋体" w:hAnsi="宋体" w:eastAsia="宋体" w:cs="宋体"/>
          <w:b w:val="0"/>
          <w:bCs w:val="0"/>
          <w:color w:val="auto"/>
          <w:sz w:val="28"/>
          <w:szCs w:val="28"/>
          <w:lang w:val="en-US" w:eastAsia="zh-CN"/>
        </w:rPr>
        <w:t>项目实施情况</w:t>
      </w:r>
      <w:r>
        <w:rPr>
          <w:rFonts w:hint="eastAsia" w:ascii="宋体" w:hAnsi="宋体" w:eastAsia="宋体" w:cs="宋体"/>
          <w:color w:val="auto"/>
          <w:sz w:val="28"/>
          <w:szCs w:val="28"/>
        </w:rPr>
        <w:t>进行</w:t>
      </w:r>
      <w:r>
        <w:rPr>
          <w:rFonts w:hint="eastAsia" w:ascii="宋体" w:hAnsi="宋体" w:eastAsia="宋体" w:cs="宋体"/>
          <w:color w:val="auto"/>
          <w:sz w:val="28"/>
          <w:szCs w:val="28"/>
          <w:lang w:val="en-US" w:eastAsia="zh-CN"/>
        </w:rPr>
        <w:t>了较全面的分析和综合评价，形成了本报告</w:t>
      </w:r>
      <w:r>
        <w:rPr>
          <w:rFonts w:hint="eastAsia" w:ascii="宋体" w:hAnsi="宋体" w:eastAsia="宋体" w:cs="宋体"/>
          <w:color w:val="auto"/>
          <w:sz w:val="28"/>
          <w:szCs w:val="28"/>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p>
    <w:p>
      <w:pPr>
        <w:keepNext w:val="0"/>
        <w:keepLines w:val="0"/>
        <w:pageBreakBefore w:val="0"/>
        <w:kinsoku/>
        <w:wordWrap/>
        <w:overflowPunct/>
        <w:topLinePunct w:val="0"/>
        <w:bidi w:val="0"/>
        <w:snapToGrid/>
        <w:spacing w:line="52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rPr>
        <w:t>一、基本情况</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lang w:val="zh-CN"/>
        </w:rPr>
      </w:pPr>
      <w:r>
        <w:rPr>
          <w:rFonts w:hint="eastAsia" w:ascii="楷体_GB2312" w:hAnsi="Times New Roman" w:eastAsia="楷体_GB2312" w:cs="Times New Roman"/>
          <w:b/>
          <w:kern w:val="0"/>
          <w:sz w:val="32"/>
          <w:szCs w:val="32"/>
          <w:lang w:val="zh-CN"/>
        </w:rPr>
        <w:t>（一）</w:t>
      </w:r>
      <w:r>
        <w:rPr>
          <w:rFonts w:hint="eastAsia" w:ascii="楷体_GB2312" w:hAnsi="Times New Roman" w:eastAsia="楷体_GB2312" w:cs="Times New Roman"/>
          <w:b/>
          <w:kern w:val="0"/>
          <w:sz w:val="32"/>
          <w:szCs w:val="32"/>
          <w:lang w:val="en-US" w:eastAsia="zh-CN"/>
        </w:rPr>
        <w:t>单位基本情况</w:t>
      </w:r>
    </w:p>
    <w:p>
      <w:pPr>
        <w:pStyle w:val="19"/>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区退役军人事务局是区政府工作部门，为正科级，单位地址为岳阳市云溪区</w:t>
      </w:r>
      <w:r>
        <w:rPr>
          <w:rFonts w:hint="eastAsia" w:eastAsia="宋体" w:cs="宋体"/>
          <w:color w:val="auto"/>
          <w:kern w:val="2"/>
          <w:sz w:val="28"/>
          <w:szCs w:val="28"/>
          <w:highlight w:val="none"/>
          <w:lang w:val="en-US" w:eastAsia="zh-CN" w:bidi="ar-SA"/>
        </w:rPr>
        <w:t>岳化大道180</w:t>
      </w:r>
      <w:r>
        <w:rPr>
          <w:rFonts w:hint="eastAsia" w:ascii="宋体" w:hAnsi="宋体" w:eastAsia="宋体" w:cs="宋体"/>
          <w:color w:val="auto"/>
          <w:kern w:val="2"/>
          <w:sz w:val="28"/>
          <w:szCs w:val="28"/>
          <w:highlight w:val="none"/>
          <w:lang w:val="en-US" w:eastAsia="zh-CN" w:bidi="ar-SA"/>
        </w:rPr>
        <w:t>号，法人代表</w:t>
      </w:r>
      <w:r>
        <w:rPr>
          <w:rFonts w:hint="eastAsia" w:eastAsia="宋体" w:cs="宋体"/>
          <w:color w:val="auto"/>
          <w:kern w:val="2"/>
          <w:sz w:val="28"/>
          <w:szCs w:val="28"/>
          <w:highlight w:val="none"/>
          <w:lang w:val="en-US" w:eastAsia="zh-CN" w:bidi="ar-SA"/>
        </w:rPr>
        <w:t>张晓华</w:t>
      </w:r>
      <w:r>
        <w:rPr>
          <w:rFonts w:hint="eastAsia" w:ascii="宋体" w:hAnsi="宋体" w:eastAsia="宋体" w:cs="宋体"/>
          <w:color w:val="auto"/>
          <w:kern w:val="2"/>
          <w:sz w:val="28"/>
          <w:szCs w:val="28"/>
          <w:highlight w:val="none"/>
          <w:lang w:val="en-US" w:eastAsia="zh-CN" w:bidi="ar-SA"/>
        </w:rPr>
        <w:t>,社会统一信用代码证11430603MB1683253M</w:t>
      </w:r>
      <w:r>
        <w:rPr>
          <w:rFonts w:hint="eastAsia" w:eastAsia="宋体" w:cs="宋体"/>
          <w:color w:val="auto"/>
          <w:kern w:val="2"/>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根据《中共岳阳市委机构编制委员会办公室关于印发岳阳市云溪区承担行政职能事业单位改革方案的通知》（岳编办通〔2019〕21号）（以下简称三定方案），区退役军人事务局内设机构4个，分别是办公室、双拥优抚股（政策法规股）、移交安置股（军休管理股）、就业创业股；所属事业单位3个，分别为岳阳市云溪区退役军人服务中心、岳阳市云溪区军队离休退休干部休养所、岳阳市云溪区光荣院。区退役军人事务局机关（局机关）行政编制5名、所属事业单位事业编制8名。机关后勤服务实行社会化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2022年末，局机关和所属事业单位实有在职人数13人，行政编制4名；财政全额拨款事业编制8名，三类人员1名。</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lang w:val="zh-CN"/>
        </w:rPr>
      </w:pPr>
      <w:r>
        <w:rPr>
          <w:rFonts w:hint="eastAsia" w:ascii="楷体_GB2312" w:hAnsi="Times New Roman" w:eastAsia="楷体_GB2312" w:cs="Times New Roman"/>
          <w:b/>
          <w:kern w:val="0"/>
          <w:sz w:val="32"/>
          <w:szCs w:val="32"/>
          <w:lang w:val="zh-CN" w:eastAsia="zh-CN"/>
        </w:rPr>
        <w:t>（二）</w:t>
      </w:r>
      <w:r>
        <w:rPr>
          <w:rFonts w:hint="eastAsia" w:ascii="楷体_GB2312" w:hAnsi="Times New Roman" w:eastAsia="楷体_GB2312" w:cs="Times New Roman"/>
          <w:b/>
          <w:kern w:val="0"/>
          <w:sz w:val="32"/>
          <w:szCs w:val="32"/>
          <w:lang w:val="en-US" w:eastAsia="zh-CN"/>
        </w:rPr>
        <w:t>单位</w:t>
      </w:r>
      <w:r>
        <w:rPr>
          <w:rFonts w:hint="eastAsia" w:ascii="楷体_GB2312" w:hAnsi="Times New Roman" w:eastAsia="楷体_GB2312" w:cs="Times New Roman"/>
          <w:b/>
          <w:kern w:val="0"/>
          <w:sz w:val="32"/>
          <w:szCs w:val="32"/>
          <w:lang w:val="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根据云溪区委办公室印发《岳阳市云溪区退役军人事务局职能配置、内设机构和人员编制规定（岳云办发[2019]64号）文件规定，区退役军人事务局贯彻落实党中央、省委、市委关于退役军人事务工作的方针政策和决策部署，全面落实区委关于退役军人事务工作的部署要求，在履行职责过程中坚持和加强党对退役军人事务工作的集中统一领导。主要职责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贯彻执行党和国家、省委和省政府、市委和市政府、区委和区政府关于退役军人思想政治、管理保障和安置优抚等工作政策法规，组织实施退役军人事务发展规划和政策；褒扬彰显退役军人为党、国家和人民牺牲奉献的精神风范和价值导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2.负责全区军队转业干部、复员干部、离休退休干部、退役士兵和无军籍退休退职职工的移交安置工作和自主择业、就业退役军人服务管理工作。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3.组织指导全区退役军人教育培训工作，协调扶持退役军人和随军随调家属就业创业。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4.贯彻落实国家、省、市、区关于退役军人的特殊保障政策，会同有关部门制定相关政策，并组织实施。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5.组织协调落实全市移交我区的离休退休军人、符合条件的其他退役军人和无军籍退休退职职工的住房保障工作，以及退役军人医疗、社会保险等待遇保障工作。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6.组织指导全区伤病残退役军人服务管理和抚恤工作，贯彻落实退役军人医疗、疗养、养老等机构的规划政策并指导实施。承担全区不适宜继续服役的伤病军人相关工作；；组织指导区军供服务保障工作。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7.组织和指导全区拥军优属工作。负责全区现役军人、退役军人、军队文职人员和军属优待、抚恤等工作；贯彻执行国家关于国民党抗战老兵等有关人员优待政策并指导实施。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8.负责全区烈士及退役军人荣誉奖励、军人公墓管理维护、纪念活动等工作，依法承担英雄烈士保护相关工作，审核拟列入全区重点保护单位的烈士纪念建筑物名录，总结表彰和宣扬退役军人、退役军人工作单位和个人先进典型事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9.指导并监督检查关于退役军人相关法律法规和政策措施的落实；开展全区退役军人权益维护和有关人员的帮扶援助工作。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10.完成区委、区政府交办的其他任务。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11.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eastAsia" w:ascii="宋体" w:hAnsi="宋体" w:eastAsia="宋体" w:cs="宋体"/>
          <w:color w:val="auto"/>
          <w:kern w:val="2"/>
          <w:sz w:val="28"/>
          <w:szCs w:val="28"/>
          <w:highlight w:val="none"/>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660" w:lineRule="exact"/>
        <w:ind w:firstLine="643" w:firstLineChars="200"/>
        <w:textAlignment w:val="auto"/>
        <w:rPr>
          <w:rFonts w:hint="eastAsia" w:ascii="楷体_GB2312" w:hAnsi="Times New Roman" w:eastAsia="楷体_GB2312" w:cs="Times New Roman"/>
          <w:b/>
          <w:kern w:val="0"/>
          <w:sz w:val="32"/>
          <w:szCs w:val="32"/>
          <w:lang w:val="en-US" w:eastAsia="zh-CN"/>
        </w:rPr>
      </w:pPr>
      <w:r>
        <w:rPr>
          <w:rFonts w:hint="eastAsia" w:ascii="楷体_GB2312" w:hAnsi="Times New Roman" w:eastAsia="楷体_GB2312" w:cs="Times New Roman"/>
          <w:b/>
          <w:kern w:val="0"/>
          <w:sz w:val="32"/>
          <w:szCs w:val="32"/>
          <w:lang w:val="zh-CN" w:eastAsia="zh-CN"/>
        </w:rPr>
        <w:t>（</w:t>
      </w:r>
      <w:r>
        <w:rPr>
          <w:rFonts w:hint="eastAsia" w:ascii="楷体_GB2312" w:hAnsi="Times New Roman" w:eastAsia="楷体_GB2312" w:cs="Times New Roman"/>
          <w:b/>
          <w:kern w:val="0"/>
          <w:sz w:val="32"/>
          <w:szCs w:val="32"/>
          <w:lang w:val="en-US" w:eastAsia="zh-CN"/>
        </w:rPr>
        <w:t>三</w:t>
      </w:r>
      <w:r>
        <w:rPr>
          <w:rFonts w:hint="eastAsia" w:ascii="楷体_GB2312" w:hAnsi="Times New Roman" w:eastAsia="楷体_GB2312" w:cs="Times New Roman"/>
          <w:b/>
          <w:kern w:val="0"/>
          <w:sz w:val="32"/>
          <w:szCs w:val="32"/>
          <w:lang w:val="zh-CN" w:eastAsia="zh-CN"/>
        </w:rPr>
        <w:t>）20</w:t>
      </w:r>
      <w:r>
        <w:rPr>
          <w:rFonts w:hint="eastAsia" w:ascii="楷体_GB2312" w:hAnsi="Times New Roman" w:eastAsia="楷体_GB2312" w:cs="Times New Roman"/>
          <w:b/>
          <w:kern w:val="0"/>
          <w:sz w:val="32"/>
          <w:szCs w:val="32"/>
          <w:lang w:val="en-US" w:eastAsia="zh-CN"/>
        </w:rPr>
        <w:t>22年度绩效目标</w:t>
      </w:r>
    </w:p>
    <w:p>
      <w:pPr>
        <w:keepNext w:val="0"/>
        <w:keepLines w:val="0"/>
        <w:pageBreakBefore w:val="0"/>
        <w:widowControl w:val="0"/>
        <w:shd w:val="clear" w:color="auto" w:fill="FFFFFF"/>
        <w:kinsoku/>
        <w:wordWrap/>
        <w:overflowPunct/>
        <w:topLinePunct w:val="0"/>
        <w:autoSpaceDE/>
        <w:autoSpaceDN/>
        <w:bidi w:val="0"/>
        <w:adjustRightInd/>
        <w:snapToGrid/>
        <w:spacing w:line="660" w:lineRule="exact"/>
        <w:ind w:firstLine="560" w:firstLineChars="20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因区退役军人事务局未提供本单位年度工作计划或重点工作安排，绩效评价人员根据岳阳市、云溪区对退役军人综合考核指标及单位职能职责确定以下绩效目标。产出目标分为重点工作履行方面（综合考核指标）及部门日常监管方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1.产出数量目标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2" w:firstLineChars="200"/>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（1）重点工作履行方面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20" w:lineRule="exact"/>
        <w:ind w:left="0" w:right="0" w:firstLine="42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①</w:t>
      </w:r>
      <w:r>
        <w:rPr>
          <w:rFonts w:hint="eastAsia" w:ascii="宋体" w:hAnsi="宋体" w:eastAsia="宋体" w:cs="宋体"/>
          <w:color w:val="auto"/>
          <w:kern w:val="2"/>
          <w:sz w:val="28"/>
          <w:szCs w:val="28"/>
          <w:highlight w:val="none"/>
          <w:lang w:val="en-US" w:eastAsia="zh-CN" w:bidi="ar-SA"/>
        </w:rPr>
        <w:t>服务保障体系建设方面：计划完成服务对象100人以上的12个村（社区）级服务站示范站建设和云溪街道退役军人服务站标杆站的创建工作；全区服务站“五有”覆盖率100%；对退役军人和其他优抚对象建档立卡率和办证完成率均达到100%；优抚对象年度确认率100%；在全区56个村（社区）服务站设立由专干担任的信访信息员，5个镇（街道）均设立由站长担任的信访代办员；全年开展退役军人志愿服务活动4次，镇（街道)、村（社区）开展志愿服务活动≥4次/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②</w:t>
      </w:r>
      <w:r>
        <w:rPr>
          <w:rFonts w:hint="eastAsia" w:ascii="宋体" w:hAnsi="宋体" w:eastAsia="宋体" w:cs="宋体"/>
          <w:color w:val="auto"/>
          <w:kern w:val="2"/>
          <w:sz w:val="28"/>
          <w:szCs w:val="28"/>
          <w:highlight w:val="none"/>
          <w:lang w:val="en-US" w:eastAsia="zh-CN" w:bidi="ar-SA"/>
        </w:rPr>
        <w:t>思想政治权益维护方面：组织开展退役军人党员爱国主义教育活动1 次、老兵党员入校园宣讲等活动1次，报送湖南省最美退役军人1人；计划开展“兵支书”“兵委员”的教育培训活动工作；帮助困难企业军转干部解困，对特殊困难退役军人进行援助。</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③防</w:t>
      </w:r>
      <w:r>
        <w:rPr>
          <w:rFonts w:hint="eastAsia" w:ascii="宋体" w:hAnsi="宋体" w:eastAsia="宋体" w:cs="宋体"/>
          <w:color w:val="auto"/>
          <w:kern w:val="2"/>
          <w:sz w:val="28"/>
          <w:szCs w:val="28"/>
          <w:highlight w:val="none"/>
          <w:lang w:val="en-US" w:eastAsia="zh-CN" w:bidi="ar-SA"/>
        </w:rPr>
        <w:t>范化解矛盾风险方面：云溪区赴省进京非访事件为0；建立重点对象、重点群体人员台账，落实了“五包一”及领导包联制度；信访回复率100%；建立系统网评员队伍人数≥12名</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④</w:t>
      </w:r>
      <w:r>
        <w:rPr>
          <w:rFonts w:hint="eastAsia" w:ascii="宋体" w:hAnsi="宋体" w:eastAsia="宋体" w:cs="宋体"/>
          <w:color w:val="auto"/>
          <w:kern w:val="2"/>
          <w:sz w:val="28"/>
          <w:szCs w:val="28"/>
          <w:highlight w:val="none"/>
          <w:lang w:val="en-US" w:eastAsia="zh-CN" w:bidi="ar-SA"/>
        </w:rPr>
        <w:t>政策法规褒扬纪念方面：开展系列主题活动；完成烈士纪念设施提质改造工程；开展清明祭英烈活动；春节、八一走访慰问烈士父母；印制《退役军人保障法》等法律法规宣传册10000本。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⑤</w:t>
      </w:r>
      <w:r>
        <w:rPr>
          <w:rFonts w:hint="eastAsia" w:ascii="宋体" w:hAnsi="宋体" w:eastAsia="宋体" w:cs="宋体"/>
          <w:color w:val="auto"/>
          <w:kern w:val="2"/>
          <w:sz w:val="28"/>
          <w:szCs w:val="28"/>
          <w:highlight w:val="none"/>
          <w:lang w:val="en-US" w:eastAsia="zh-CN" w:bidi="ar-SA"/>
        </w:rPr>
        <w:t>移交安置方面：完成退役军人安置任务100%；全年按要求发放自主就业一次性经济补助及政策规定的补助。</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auto"/>
          <w:kern w:val="2"/>
          <w:sz w:val="28"/>
          <w:szCs w:val="28"/>
          <w:highlight w:val="none"/>
          <w:lang w:val="en-US" w:eastAsia="zh-CN" w:bidi="ar-SA"/>
        </w:rPr>
        <w:t>⑥</w:t>
      </w:r>
      <w:r>
        <w:rPr>
          <w:rFonts w:hint="eastAsia" w:ascii="宋体" w:hAnsi="宋体" w:eastAsia="宋体" w:cs="宋体"/>
          <w:color w:val="auto"/>
          <w:kern w:val="2"/>
          <w:sz w:val="28"/>
          <w:szCs w:val="28"/>
          <w:highlight w:val="none"/>
          <w:lang w:val="en-US" w:eastAsia="zh-CN" w:bidi="ar-SA"/>
        </w:rPr>
        <w:t>军休服务管理方面：计划完成年度接收安置任务100%；落实军休人员“两项待遇”；按月发放军队退休人员待遇；开</w:t>
      </w:r>
      <w:r>
        <w:rPr>
          <w:rFonts w:hint="eastAsia" w:ascii="宋体" w:hAnsi="宋体" w:eastAsia="宋体" w:cs="宋体"/>
          <w:kern w:val="2"/>
          <w:sz w:val="28"/>
          <w:szCs w:val="28"/>
          <w:lang w:val="en-US" w:eastAsia="zh-CN" w:bidi="ar-SA"/>
        </w:rPr>
        <w:t>展重大节日走访慰问活动。</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⑦</w:t>
      </w:r>
      <w:r>
        <w:rPr>
          <w:rFonts w:hint="eastAsia" w:ascii="宋体" w:hAnsi="宋体" w:eastAsia="宋体" w:cs="宋体"/>
          <w:color w:val="auto"/>
          <w:kern w:val="2"/>
          <w:sz w:val="28"/>
          <w:szCs w:val="28"/>
          <w:highlight w:val="none"/>
          <w:lang w:val="en-US" w:eastAsia="zh-CN" w:bidi="ar-SA"/>
        </w:rPr>
        <w:t>拥军优属工作方面：节日走访慰问驻军单位；建立市双拥林活动基地；走访边海防官兵慰问军属12人；组织参战老兵到校园讲红色故事，退役军人志愿队进校园宣讲党的二十大精神；协调落实军人子女教育优待；为立功受奖官兵送喜报100%人次；按要求发放义务兵家庭优待金100%。</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⑧就</w:t>
      </w:r>
      <w:r>
        <w:rPr>
          <w:rFonts w:hint="eastAsia" w:ascii="宋体" w:hAnsi="宋体" w:eastAsia="宋体" w:cs="宋体"/>
          <w:color w:val="auto"/>
          <w:kern w:val="2"/>
          <w:sz w:val="28"/>
          <w:szCs w:val="28"/>
          <w:highlight w:val="none"/>
          <w:lang w:val="en-US" w:eastAsia="zh-CN" w:bidi="ar-SA"/>
        </w:rPr>
        <w:t>业创业方面：推荐湖南省“最美退役军人”候选对象、优秀企业和先进个人参加评选；开展招聘活动；开展退役士兵返乡欢迎仪式；退役士兵职业培训38人。</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⑨</w:t>
      </w:r>
      <w:r>
        <w:rPr>
          <w:rFonts w:hint="eastAsia" w:ascii="宋体" w:hAnsi="宋体" w:eastAsia="宋体" w:cs="宋体"/>
          <w:color w:val="auto"/>
          <w:kern w:val="2"/>
          <w:sz w:val="28"/>
          <w:szCs w:val="28"/>
          <w:highlight w:val="none"/>
          <w:lang w:val="en-US" w:eastAsia="zh-CN" w:bidi="ar-SA"/>
        </w:rPr>
        <w:t>拥军优抚方面：开展重大节日慰问；按政策规定每月及时足额发放各类优抚对象抚恤补助金；常态化信息采集应采尽采；悬挂光荣牌100%；参战参试身份认定100%；开展退役军人和其他优抚对象建档立卡100%和优待证发放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（2）部门日常监管工作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①</w:t>
      </w:r>
      <w:r>
        <w:rPr>
          <w:rFonts w:hint="eastAsia" w:ascii="宋体" w:hAnsi="宋体" w:eastAsia="宋体" w:cs="宋体"/>
          <w:color w:val="auto"/>
          <w:kern w:val="2"/>
          <w:sz w:val="28"/>
          <w:szCs w:val="28"/>
          <w:highlight w:val="none"/>
          <w:lang w:val="en-US" w:eastAsia="zh-CN" w:bidi="ar-SA"/>
        </w:rPr>
        <w:t>完成退役军人事务系统2022年争资争项目标任务1,300.00万元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②</w:t>
      </w:r>
      <w:r>
        <w:rPr>
          <w:rFonts w:hint="eastAsia" w:ascii="宋体" w:hAnsi="宋体" w:eastAsia="宋体" w:cs="宋体"/>
          <w:color w:val="auto"/>
          <w:kern w:val="2"/>
          <w:sz w:val="28"/>
          <w:szCs w:val="28"/>
          <w:highlight w:val="none"/>
          <w:lang w:val="en-US" w:eastAsia="zh-CN" w:bidi="ar-SA"/>
        </w:rPr>
        <w:t>完成离退休干部活动场地建设任务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③落实军人军属、退役军人和其他优抚对象优待目录清单内容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④对</w:t>
      </w:r>
      <w:r>
        <w:rPr>
          <w:rFonts w:hint="eastAsia" w:ascii="宋体" w:hAnsi="宋体" w:eastAsia="宋体" w:cs="宋体"/>
          <w:color w:val="auto"/>
          <w:kern w:val="2"/>
          <w:sz w:val="28"/>
          <w:szCs w:val="28"/>
          <w:highlight w:val="none"/>
          <w:lang w:val="en-US" w:eastAsia="zh-CN" w:bidi="ar-SA"/>
        </w:rPr>
        <w:t>全区系统2022年退役军人工作综合考评工作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⑤</w:t>
      </w:r>
      <w:r>
        <w:rPr>
          <w:rFonts w:hint="eastAsia" w:ascii="宋体" w:hAnsi="宋体" w:eastAsia="宋体" w:cs="宋体"/>
          <w:color w:val="auto"/>
          <w:kern w:val="2"/>
          <w:sz w:val="28"/>
          <w:szCs w:val="28"/>
          <w:highlight w:val="none"/>
          <w:lang w:val="en-US" w:eastAsia="zh-CN" w:bidi="ar-SA"/>
        </w:rPr>
        <w:t>市、区、本局业务培训</w:t>
      </w:r>
      <w:r>
        <w:rPr>
          <w:rFonts w:hint="default" w:ascii="Arial" w:hAnsi="Arial" w:eastAsia="宋体" w:cs="Arial"/>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SA"/>
        </w:rPr>
        <w:t>3次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⑥</w:t>
      </w:r>
      <w:r>
        <w:rPr>
          <w:rFonts w:hint="eastAsia" w:ascii="宋体" w:hAnsi="宋体" w:eastAsia="宋体" w:cs="宋体"/>
          <w:color w:val="auto"/>
          <w:kern w:val="2"/>
          <w:sz w:val="28"/>
          <w:szCs w:val="28"/>
          <w:highlight w:val="none"/>
          <w:lang w:val="en-US" w:eastAsia="zh-CN" w:bidi="ar-SA"/>
        </w:rPr>
        <w:t>局相关部门对区光荣院、退役军人服务站资金支出情况检查或审计1次，出具检查或审计报告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⑦对省</w:t>
      </w:r>
      <w:r>
        <w:rPr>
          <w:rFonts w:hint="eastAsia" w:ascii="宋体" w:hAnsi="宋体" w:eastAsia="宋体" w:cs="宋体"/>
          <w:color w:val="auto"/>
          <w:kern w:val="2"/>
          <w:sz w:val="28"/>
          <w:szCs w:val="28"/>
          <w:highlight w:val="none"/>
          <w:lang w:val="en-US" w:eastAsia="zh-CN" w:bidi="ar-SA"/>
        </w:rPr>
        <w:t>、市、区巡察、审计、财政、退役军人管理部门检查报告提出问题的整改率达100%。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2.产出质量目标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（1）村（社区）级服务站示范站建设和云溪街道退役军人服务站标杆站的创建市级验收合格率100%；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（2）离退休干部活动场地建设等项目符合相关质量验收标准；信访回复满意度95%及以上；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（3）发生重大安全责任事故为0；重大负面维稳事件、重大负面舆情为0；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（4）市、区退役军人工作综合考评达到80分以上（良好单位）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（5）发放各项优抚对象抚恤补助资金符合相关标准，无差错。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color w:val="auto"/>
          <w:kern w:val="2"/>
          <w:sz w:val="28"/>
          <w:szCs w:val="28"/>
          <w:highlight w:val="none"/>
          <w:lang w:val="en-US" w:eastAsia="zh-CN" w:bidi="ar-SA"/>
        </w:rPr>
        <w:t>3.产出时效目标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（1）计划202</w:t>
      </w:r>
      <w:r>
        <w:rPr>
          <w:rFonts w:hint="eastAsia" w:eastAsia="宋体" w:cs="宋体"/>
          <w:sz w:val="28"/>
          <w:szCs w:val="28"/>
          <w:lang w:val="en-US" w:eastAsia="zh-CN"/>
        </w:rPr>
        <w:t>2</w:t>
      </w:r>
      <w:r>
        <w:rPr>
          <w:rFonts w:hint="eastAsia" w:ascii="宋体" w:hAnsi="宋体" w:eastAsia="宋体" w:cs="宋体"/>
          <w:sz w:val="28"/>
          <w:szCs w:val="28"/>
          <w:lang w:val="en-US" w:eastAsia="zh-CN"/>
        </w:rPr>
        <w:t>年度12月31日前完成全年任务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（2）项目建设工程按合同时间竣工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（3）按规定时间足额发放各类优抚对象抚恤补助金。</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4.产出成本</w:t>
      </w:r>
      <w:r>
        <w:rPr>
          <w:rFonts w:hint="eastAsia" w:eastAsia="宋体" w:cs="宋体"/>
          <w:b/>
          <w:bCs/>
          <w:color w:val="auto"/>
          <w:kern w:val="2"/>
          <w:sz w:val="28"/>
          <w:szCs w:val="28"/>
          <w:highlight w:val="none"/>
          <w:lang w:val="en-US" w:eastAsia="zh-CN" w:bidi="ar-SA"/>
        </w:rPr>
        <w:t>目标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（1）支出控制在总预算范围内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（2）基本支出控制预算161.38万元范围内，专项经费支出控制在预算2</w:t>
      </w:r>
      <w:r>
        <w:rPr>
          <w:rFonts w:hint="eastAsia" w:eastAsia="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323.51范围内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color w:val="auto"/>
          <w:kern w:val="2"/>
          <w:sz w:val="28"/>
          <w:szCs w:val="28"/>
          <w:highlight w:val="none"/>
          <w:lang w:val="en-US" w:eastAsia="zh-CN" w:bidi="ar-SA"/>
        </w:rPr>
        <w:t>（3）公用</w:t>
      </w:r>
      <w:r>
        <w:rPr>
          <w:rFonts w:hint="eastAsia" w:eastAsia="宋体" w:cs="宋体"/>
          <w:b w:val="0"/>
          <w:bCs w:val="0"/>
          <w:color w:val="auto"/>
          <w:kern w:val="2"/>
          <w:sz w:val="28"/>
          <w:szCs w:val="28"/>
          <w:highlight w:val="none"/>
          <w:lang w:val="en-US" w:eastAsia="zh-CN" w:bidi="ar-SA"/>
        </w:rPr>
        <w:t>经费</w:t>
      </w:r>
      <w:r>
        <w:rPr>
          <w:rFonts w:hint="eastAsia" w:ascii="宋体" w:hAnsi="宋体" w:eastAsia="宋体" w:cs="宋体"/>
          <w:b w:val="0"/>
          <w:bCs w:val="0"/>
          <w:color w:val="auto"/>
          <w:kern w:val="2"/>
          <w:sz w:val="28"/>
          <w:szCs w:val="28"/>
          <w:highlight w:val="none"/>
          <w:lang w:val="en-US" w:eastAsia="zh-CN" w:bidi="ar-SA"/>
        </w:rPr>
        <w:t>支出≤</w:t>
      </w:r>
      <w:r>
        <w:rPr>
          <w:rFonts w:hint="eastAsia" w:eastAsia="宋体" w:cs="宋体"/>
          <w:b w:val="0"/>
          <w:bCs w:val="0"/>
          <w:color w:val="auto"/>
          <w:kern w:val="2"/>
          <w:sz w:val="28"/>
          <w:szCs w:val="28"/>
          <w:highlight w:val="none"/>
          <w:lang w:val="en-US" w:eastAsia="zh-CN" w:bidi="ar-SA"/>
        </w:rPr>
        <w:t>预算</w:t>
      </w:r>
      <w:r>
        <w:rPr>
          <w:rFonts w:hint="eastAsia" w:ascii="宋体" w:hAnsi="宋体" w:eastAsia="宋体" w:cs="宋体"/>
          <w:b w:val="0"/>
          <w:bCs w:val="0"/>
          <w:color w:val="auto"/>
          <w:kern w:val="2"/>
          <w:sz w:val="28"/>
          <w:szCs w:val="28"/>
          <w:highlight w:val="none"/>
          <w:lang w:val="en-US" w:eastAsia="zh-CN" w:bidi="ar-SA"/>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5.效果及社会满意度</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（1）社会效果</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①把准政治方向，维护</w:t>
      </w:r>
      <w:r>
        <w:rPr>
          <w:rFonts w:hint="eastAsia" w:eastAsia="宋体" w:cs="宋体"/>
          <w:b w:val="0"/>
          <w:bCs w:val="0"/>
          <w:color w:val="auto"/>
          <w:kern w:val="2"/>
          <w:sz w:val="28"/>
          <w:szCs w:val="28"/>
          <w:highlight w:val="none"/>
          <w:lang w:val="en-US" w:eastAsia="zh-CN" w:bidi="ar-SA"/>
        </w:rPr>
        <w:t>了</w:t>
      </w:r>
      <w:r>
        <w:rPr>
          <w:rFonts w:hint="eastAsia" w:ascii="宋体" w:hAnsi="宋体" w:eastAsia="宋体" w:cs="宋体"/>
          <w:b w:val="0"/>
          <w:bCs w:val="0"/>
          <w:color w:val="auto"/>
          <w:kern w:val="2"/>
          <w:sz w:val="28"/>
          <w:szCs w:val="28"/>
          <w:highlight w:val="none"/>
          <w:lang w:val="en-US" w:eastAsia="zh-CN" w:bidi="ar-SA"/>
        </w:rPr>
        <w:t>党的领导</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②做好安保维稳工作，守住了本区安全稳定底线</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③做好学习与宣传工作，提升工作人员及退役军人法律意识和法治观念</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④完善英雄烈士纪念设施建设，提升了红色教育功能与氛围</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default" w:ascii="Calibri" w:hAnsi="Calibri" w:eastAsia="宋体" w:cs="Calibri"/>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8"/>
          <w:szCs w:val="28"/>
          <w:highlight w:val="none"/>
          <w:lang w:val="en-US" w:eastAsia="zh-CN" w:bidi="ar-SA"/>
        </w:rPr>
        <w:t>妥善安置就业，鼓励退役军人创业创新</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default" w:ascii="Calibri" w:hAnsi="Calibri" w:eastAsia="宋体" w:cs="Calibri"/>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8"/>
          <w:szCs w:val="28"/>
          <w:highlight w:val="none"/>
          <w:lang w:val="en-US" w:eastAsia="zh-CN" w:bidi="ar-SA"/>
        </w:rPr>
        <w:t>全力落实双拥优抚政策，为全区双拥工作打下坚实基础。</w:t>
      </w:r>
    </w:p>
    <w:p>
      <w:pPr>
        <w:pStyle w:val="1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firstLineChars="200"/>
        <w:jc w:val="both"/>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履职效能</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①局机关领导班子成员工作扎实，履职能力加强，多项工作评优、评先</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②基层组织各项业务能力、服务能力是否能够满足需要</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③基层组织人员配备符合标准，人员稳定性较好</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可持续性影响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①</w:t>
      </w:r>
      <w:r>
        <w:rPr>
          <w:rFonts w:hint="eastAsia" w:ascii="宋体" w:hAnsi="宋体" w:eastAsia="宋体" w:cs="宋体"/>
          <w:b w:val="0"/>
          <w:bCs w:val="0"/>
          <w:color w:val="auto"/>
          <w:kern w:val="2"/>
          <w:sz w:val="28"/>
          <w:szCs w:val="28"/>
          <w:highlight w:val="none"/>
          <w:lang w:val="en-US" w:eastAsia="zh-CN" w:bidi="ar-SA"/>
        </w:rPr>
        <w:t>全方位营造全社会尊重退役军人和支持退役军人工作的良好氛围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②</w:t>
      </w:r>
      <w:r>
        <w:rPr>
          <w:rFonts w:hint="eastAsia" w:ascii="宋体" w:hAnsi="宋体" w:eastAsia="宋体" w:cs="宋体"/>
          <w:b w:val="0"/>
          <w:bCs w:val="0"/>
          <w:color w:val="auto"/>
          <w:kern w:val="2"/>
          <w:sz w:val="28"/>
          <w:szCs w:val="28"/>
          <w:highlight w:val="none"/>
          <w:lang w:val="en-US" w:eastAsia="zh-CN" w:bidi="ar-SA"/>
        </w:rPr>
        <w:t>提升退役军人依法表达诉求、依法维护权益的意识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③增强优抚对象的荣誉感、获得感。</w:t>
      </w:r>
    </w:p>
    <w:p>
      <w:pPr>
        <w:pStyle w:val="74"/>
        <w:keepNext w:val="0"/>
        <w:keepLines w:val="0"/>
        <w:pageBreakBefore w:val="0"/>
        <w:numPr>
          <w:ilvl w:val="0"/>
          <w:numId w:val="4"/>
        </w:numPr>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562"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服务对象满意度</w:t>
      </w:r>
    </w:p>
    <w:p>
      <w:pPr>
        <w:pStyle w:val="7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退役军人满意度达90%及以上。</w:t>
      </w:r>
    </w:p>
    <w:p>
      <w:pPr>
        <w:pStyle w:val="7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i w:val="0"/>
          <w:iCs w:val="0"/>
          <w:caps w:val="0"/>
          <w:color w:val="auto"/>
          <w:spacing w:val="0"/>
          <w:sz w:val="32"/>
          <w:szCs w:val="32"/>
          <w:shd w:val="clear" w:color="auto" w:fill="FFFFFF"/>
          <w:lang w:val="en-US" w:eastAsia="zh-CN"/>
        </w:rPr>
        <w:t>二、部门整体收支情况</w:t>
      </w:r>
    </w:p>
    <w:p>
      <w:pPr>
        <w:pStyle w:val="19"/>
        <w:keepNext w:val="0"/>
        <w:keepLines w:val="0"/>
        <w:pageBreakBefore w:val="0"/>
        <w:kinsoku/>
        <w:wordWrap/>
        <w:overflowPunct/>
        <w:topLinePunct w:val="0"/>
        <w:bidi w:val="0"/>
        <w:snapToGrid/>
        <w:spacing w:before="0" w:beforeAutospacing="0" w:after="0" w:afterAutospacing="0" w:line="520" w:lineRule="exact"/>
        <w:ind w:firstLine="420"/>
        <w:jc w:val="both"/>
        <w:rPr>
          <w:rFonts w:hint="eastAsia" w:ascii="楷体_GB2312" w:hAnsi="Times New Roman" w:eastAsia="楷体_GB2312" w:cs="Times New Roman"/>
          <w:b/>
          <w:kern w:val="0"/>
          <w:sz w:val="32"/>
          <w:szCs w:val="32"/>
          <w:lang w:val="en-US" w:eastAsia="zh-CN" w:bidi="ar-SA"/>
        </w:rPr>
      </w:pPr>
      <w:r>
        <w:rPr>
          <w:rFonts w:hint="eastAsia" w:ascii="宋体" w:hAnsi="宋体" w:eastAsia="宋体" w:cs="宋体"/>
          <w:color w:val="auto"/>
          <w:sz w:val="28"/>
          <w:szCs w:val="28"/>
          <w:lang w:val="en-US" w:eastAsia="zh-CN"/>
        </w:rPr>
        <w:t>区财政实际拨付预算指标2,484.89万元</w:t>
      </w:r>
      <w:r>
        <w:rPr>
          <w:rFonts w:hint="eastAsia" w:eastAsia="宋体" w:cs="宋体"/>
          <w:color w:val="auto"/>
          <w:sz w:val="28"/>
          <w:szCs w:val="28"/>
          <w:lang w:val="en-US" w:eastAsia="zh-CN"/>
        </w:rPr>
        <w:t>。</w:t>
      </w:r>
      <w:r>
        <w:rPr>
          <w:rFonts w:hint="eastAsia" w:ascii="宋体" w:hAnsi="宋体" w:eastAsia="宋体" w:cs="宋体"/>
          <w:color w:val="auto"/>
          <w:kern w:val="2"/>
          <w:sz w:val="28"/>
          <w:szCs w:val="28"/>
          <w:highlight w:val="none"/>
          <w:lang w:val="en-US" w:eastAsia="zh-CN" w:bidi="ar-SA"/>
        </w:rPr>
        <w:t>区退役军人事务局财务帐面2021年资金结转56.91万元，</w:t>
      </w:r>
      <w:r>
        <w:rPr>
          <w:rFonts w:hint="eastAsia" w:ascii="宋体" w:hAnsi="宋体" w:eastAsia="宋体" w:cs="宋体"/>
          <w:color w:val="auto"/>
          <w:sz w:val="28"/>
          <w:szCs w:val="28"/>
          <w:lang w:val="en-US" w:eastAsia="zh-CN"/>
        </w:rPr>
        <w:t>2022年度实际预算收入2,427.23万元，支出2,484.14万元，本年预算收支差额</w:t>
      </w:r>
      <w:r>
        <w:rPr>
          <w:rFonts w:hint="eastAsia" w:eastAsia="宋体" w:cs="宋体"/>
          <w:color w:val="auto"/>
          <w:sz w:val="28"/>
          <w:szCs w:val="28"/>
          <w:lang w:val="en-US" w:eastAsia="zh-CN"/>
        </w:rPr>
        <w:t>0</w:t>
      </w:r>
      <w:r>
        <w:rPr>
          <w:rFonts w:hint="eastAsia" w:ascii="宋体" w:hAnsi="宋体" w:eastAsia="宋体" w:cs="宋体"/>
          <w:color w:val="auto"/>
          <w:sz w:val="28"/>
          <w:szCs w:val="28"/>
          <w:lang w:val="en-US" w:eastAsia="zh-CN"/>
        </w:rPr>
        <w:t>万元。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楷体_GB2312" w:hAnsi="Times New Roman" w:eastAsia="楷体_GB2312" w:cs="Times New Roman"/>
          <w:b/>
          <w:kern w:val="0"/>
          <w:sz w:val="32"/>
          <w:szCs w:val="32"/>
          <w:lang w:val="en-US" w:eastAsia="zh-CN" w:bidi="ar-SA"/>
        </w:rPr>
      </w:pPr>
      <w:r>
        <w:rPr>
          <w:rFonts w:hint="eastAsia" w:ascii="楷体_GB2312" w:hAnsi="Times New Roman" w:eastAsia="楷体_GB2312" w:cs="Times New Roman"/>
          <w:b/>
          <w:kern w:val="0"/>
          <w:sz w:val="32"/>
          <w:szCs w:val="32"/>
          <w:lang w:val="en-US" w:eastAsia="zh-CN" w:bidi="ar-SA"/>
        </w:rPr>
        <w:t>（一）2022</w:t>
      </w:r>
      <w:r>
        <w:rPr>
          <w:rFonts w:hint="eastAsia" w:ascii="楷体_GB2312" w:hAnsi="Times New Roman" w:eastAsia="楷体_GB2312" w:cs="Times New Roman"/>
          <w:b/>
          <w:kern w:val="0"/>
          <w:sz w:val="32"/>
          <w:szCs w:val="32"/>
          <w:lang w:val="en-US" w:eastAsia="zh-CN" w:bidi="ar-SA"/>
        </w:rPr>
        <w:t>年预算指标下达情况</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highlight w:val="none"/>
          <w:lang w:val="en-US" w:eastAsia="zh-CN" w:bidi="ar-SA"/>
        </w:rPr>
        <w:t>根据《岳阳市云溪区退役军人事务局单位指标查询表》，区财政</w:t>
      </w:r>
      <w:r>
        <w:rPr>
          <w:rFonts w:hint="eastAsia" w:ascii="宋体" w:hAnsi="宋体" w:eastAsia="宋体" w:cs="宋体"/>
          <w:color w:val="auto"/>
          <w:sz w:val="28"/>
          <w:szCs w:val="28"/>
          <w:lang w:val="en-US" w:eastAsia="zh-CN"/>
        </w:rPr>
        <w:t>预算指标下达情况如下：</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2022年下达预算指标总计2,600.98万元，实际指标下达数2581.89万元，区财政冻结指标80.84万元，已使用指标数2,484.89万元，指标可用数（结余）16.17万元。其中：</w:t>
      </w:r>
    </w:p>
    <w:p>
      <w:pPr>
        <w:pStyle w:val="19"/>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上年结转指标429.17万元</w:t>
      </w:r>
    </w:p>
    <w:p>
      <w:pPr>
        <w:pStyle w:val="19"/>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年初批复指标161.38万元，</w:t>
      </w:r>
      <w:r>
        <w:rPr>
          <w:rFonts w:hint="eastAsia" w:ascii="宋体" w:hAnsi="宋体" w:eastAsia="宋体" w:cs="宋体"/>
          <w:sz w:val="28"/>
          <w:szCs w:val="28"/>
          <w:lang w:val="en-US" w:eastAsia="zh-CN"/>
        </w:rPr>
        <w:t>均为基本支出预算，其中：工资福利支出预算106.43万元，商品和服务支出54.95万元</w:t>
      </w:r>
    </w:p>
    <w:p>
      <w:pPr>
        <w:pStyle w:val="19"/>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追加指标2,010.43万元，实际可使用指标1894.34万元（</w:t>
      </w:r>
      <w:r>
        <w:rPr>
          <w:rFonts w:hint="eastAsia" w:ascii="宋体" w:hAnsi="宋体" w:eastAsia="宋体" w:cs="宋体"/>
          <w:sz w:val="28"/>
          <w:szCs w:val="28"/>
          <w:lang w:val="en-US" w:eastAsia="zh-CN"/>
        </w:rPr>
        <w:t>项目专项</w:t>
      </w:r>
      <w:r>
        <w:rPr>
          <w:rFonts w:hint="eastAsia" w:eastAsia="宋体" w:cs="宋体"/>
          <w:sz w:val="28"/>
          <w:szCs w:val="28"/>
          <w:lang w:val="en-US" w:eastAsia="zh-CN"/>
        </w:rPr>
        <w:t>资金</w:t>
      </w:r>
      <w:r>
        <w:rPr>
          <w:rFonts w:hint="eastAsia" w:ascii="宋体" w:hAnsi="宋体" w:eastAsia="宋体" w:cs="宋体"/>
          <w:sz w:val="28"/>
          <w:szCs w:val="28"/>
          <w:lang w:val="en-US" w:eastAsia="zh-CN"/>
        </w:rPr>
        <w:t>支出预算）</w:t>
      </w:r>
      <w:r>
        <w:rPr>
          <w:rFonts w:hint="eastAsia" w:ascii="宋体" w:hAnsi="宋体" w:eastAsia="宋体" w:cs="宋体"/>
          <w:color w:val="auto"/>
          <w:sz w:val="28"/>
          <w:szCs w:val="28"/>
          <w:lang w:val="en-US" w:eastAsia="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楷体_GB2312" w:hAnsi="Times New Roman" w:eastAsia="楷体_GB2312" w:cs="Times New Roman"/>
          <w:b/>
          <w:kern w:val="0"/>
          <w:sz w:val="32"/>
          <w:szCs w:val="32"/>
          <w:lang w:val="en-US" w:eastAsia="zh-CN" w:bidi="ar-SA"/>
        </w:rPr>
      </w:pPr>
      <w:r>
        <w:rPr>
          <w:rFonts w:hint="eastAsia" w:ascii="楷体_GB2312" w:hAnsi="Times New Roman" w:eastAsia="楷体_GB2312" w:cs="Times New Roman"/>
          <w:b/>
          <w:kern w:val="0"/>
          <w:sz w:val="32"/>
          <w:szCs w:val="32"/>
          <w:lang w:val="en-US" w:eastAsia="zh-CN" w:bidi="ar-SA"/>
        </w:rPr>
        <w:t>（二）预算收入情况分析</w:t>
      </w:r>
    </w:p>
    <w:p>
      <w:pPr>
        <w:pStyle w:val="19"/>
        <w:keepNext w:val="0"/>
        <w:keepLines w:val="0"/>
        <w:pageBreakBefore w:val="0"/>
        <w:numPr>
          <w:ilvl w:val="0"/>
          <w:numId w:val="0"/>
        </w:numPr>
        <w:kinsoku/>
        <w:wordWrap/>
        <w:overflowPunct/>
        <w:topLinePunct w:val="0"/>
        <w:bidi w:val="0"/>
        <w:snapToGrid/>
        <w:spacing w:before="0" w:beforeAutospacing="0" w:after="0" w:afterAutospacing="0" w:line="520" w:lineRule="exact"/>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本年</w:t>
      </w:r>
      <w:r>
        <w:rPr>
          <w:rFonts w:hint="eastAsia" w:eastAsia="宋体" w:cs="宋体"/>
          <w:color w:val="auto"/>
          <w:sz w:val="28"/>
          <w:szCs w:val="28"/>
          <w:lang w:val="en-US" w:eastAsia="zh-CN"/>
        </w:rPr>
        <w:t>财务帐面</w:t>
      </w:r>
      <w:r>
        <w:rPr>
          <w:rFonts w:hint="eastAsia" w:ascii="宋体" w:hAnsi="宋体" w:eastAsia="宋体" w:cs="宋体"/>
          <w:color w:val="auto"/>
          <w:sz w:val="28"/>
          <w:szCs w:val="28"/>
          <w:lang w:val="en-US" w:eastAsia="zh-CN"/>
        </w:rPr>
        <w:t>预算收入2,427.23万元，其中:财政拨款预算收入2,398.08万元，其他预算收入29.16万元。见下表：</w:t>
      </w:r>
    </w:p>
    <w:p>
      <w:pPr>
        <w:pStyle w:val="19"/>
        <w:keepNext w:val="0"/>
        <w:keepLines w:val="0"/>
        <w:pageBreakBefore w:val="0"/>
        <w:numPr>
          <w:ilvl w:val="0"/>
          <w:numId w:val="0"/>
        </w:numPr>
        <w:kinsoku/>
        <w:wordWrap/>
        <w:overflowPunct/>
        <w:topLinePunct w:val="0"/>
        <w:bidi w:val="0"/>
        <w:snapToGrid/>
        <w:spacing w:before="0" w:beforeAutospacing="0" w:after="0" w:afterAutospacing="0" w:line="520" w:lineRule="exact"/>
        <w:ind w:firstLine="560" w:firstLineChars="200"/>
        <w:jc w:val="both"/>
        <w:rPr>
          <w:rFonts w:hint="default" w:ascii="宋体" w:hAnsi="宋体" w:eastAsia="宋体" w:cs="宋体"/>
          <w:color w:val="auto"/>
          <w:sz w:val="28"/>
          <w:szCs w:val="28"/>
          <w:lang w:val="en-US" w:eastAsia="zh-CN"/>
        </w:rPr>
      </w:pPr>
    </w:p>
    <w:tbl>
      <w:tblPr>
        <w:tblStyle w:val="23"/>
        <w:tblW w:w="87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620"/>
        <w:gridCol w:w="850"/>
        <w:gridCol w:w="37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40" w:type="dxa"/>
            <w:gridSpan w:val="2"/>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w:t>
            </w:r>
          </w:p>
        </w:tc>
        <w:tc>
          <w:tcPr>
            <w:tcW w:w="850"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凭证号</w:t>
            </w:r>
          </w:p>
        </w:tc>
        <w:tc>
          <w:tcPr>
            <w:tcW w:w="3700"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摘要</w:t>
            </w:r>
          </w:p>
        </w:tc>
        <w:tc>
          <w:tcPr>
            <w:tcW w:w="1500"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金额（元）</w:t>
            </w:r>
          </w:p>
        </w:tc>
        <w:tc>
          <w:tcPr>
            <w:tcW w:w="1500"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优抚对象姚品文退款</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李凯、李仕华、刘杰差旅费等退款</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市局拨军队离退休干部定期增资款</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275,000.00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杨嘉颖提前退伍退回2022年义务兵家庭优待金退回</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14,000.00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组织部、人社局年度考核奖励转入</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9,000.00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六届第一轮巡察组餐费转入</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市局拨自主择业干部医保个人部分转入</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326.46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记账-2</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市局拨自主择业干部医保个人部分转入</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476.46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付自主择业军转干部医疗保险金转入</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2,491.38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市局自主择业军转干部医疗转入</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323.44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记账-1</w:t>
            </w:r>
          </w:p>
        </w:tc>
        <w:tc>
          <w:tcPr>
            <w:tcW w:w="37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中国大地财产保险公司理赔款</w:t>
            </w:r>
          </w:p>
        </w:tc>
        <w:tc>
          <w:tcPr>
            <w:tcW w:w="15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c>
          <w:tcPr>
            <w:tcW w:w="15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记账-41</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年终注销财政其他资金</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-34,200.00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年终平衡结转资金。财务会计帐已于2023年1月#1号凭证记入“其他收入”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090" w:type="dxa"/>
            <w:gridSpan w:val="3"/>
            <w:tcBorders>
              <w:top w:val="single" w:color="000000" w:sz="4" w:space="0"/>
              <w:left w:val="single" w:color="000000" w:sz="4" w:space="0"/>
              <w:bottom w:val="single" w:color="000000" w:sz="4" w:space="0"/>
              <w:right w:val="single" w:color="000000" w:sz="4" w:space="0"/>
            </w:tcBorders>
            <w:shd w:val="clear" w:color="auto" w:fill="D9E1F2"/>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700" w:type="dxa"/>
            <w:tcBorders>
              <w:top w:val="single" w:color="000000" w:sz="4" w:space="0"/>
              <w:left w:val="single" w:color="000000" w:sz="4" w:space="0"/>
              <w:bottom w:val="single" w:color="000000" w:sz="4" w:space="0"/>
              <w:right w:val="single" w:color="000000" w:sz="4" w:space="0"/>
            </w:tcBorders>
            <w:shd w:val="clear" w:color="auto" w:fill="D9E1F2"/>
            <w:noWrap/>
            <w:vAlign w:val="bottom"/>
          </w:tcPr>
          <w:p>
            <w:pPr>
              <w:rPr>
                <w:rFonts w:hint="eastAsia" w:ascii="Arial" w:hAnsi="Arial" w:cs="Arial"/>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291,577.74 </w:t>
            </w:r>
          </w:p>
        </w:tc>
        <w:tc>
          <w:tcPr>
            <w:tcW w:w="15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楷体_GB2312" w:hAnsi="Times New Roman" w:eastAsia="楷体_GB2312" w:cs="Times New Roman"/>
          <w:b/>
          <w:kern w:val="0"/>
          <w:sz w:val="32"/>
          <w:szCs w:val="32"/>
          <w:lang w:val="en-US" w:eastAsia="zh-CN" w:bidi="ar-SA"/>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楷体_GB2312" w:hAnsi="Times New Roman" w:eastAsia="楷体_GB2312" w:cs="Times New Roman"/>
          <w:b/>
          <w:kern w:val="0"/>
          <w:sz w:val="32"/>
          <w:szCs w:val="32"/>
          <w:lang w:val="en-US" w:eastAsia="zh-CN" w:bidi="ar-SA"/>
        </w:rPr>
      </w:pPr>
      <w:r>
        <w:rPr>
          <w:rFonts w:hint="eastAsia" w:ascii="楷体_GB2312" w:hAnsi="Times New Roman" w:eastAsia="楷体_GB2312" w:cs="Times New Roman"/>
          <w:b/>
          <w:kern w:val="0"/>
          <w:sz w:val="32"/>
          <w:szCs w:val="32"/>
          <w:lang w:val="en-US" w:eastAsia="zh-CN" w:bidi="ar-SA"/>
        </w:rPr>
        <w:t>（三）预算支出情况分析</w:t>
      </w:r>
    </w:p>
    <w:p>
      <w:pPr>
        <w:pStyle w:val="1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eastAsia="宋体" w:cs="宋体"/>
          <w:color w:val="auto"/>
          <w:sz w:val="28"/>
          <w:szCs w:val="28"/>
          <w:lang w:val="en-US" w:eastAsia="zh-CN"/>
        </w:rPr>
        <w:t>本年财务帐面</w:t>
      </w:r>
      <w:r>
        <w:rPr>
          <w:rFonts w:hint="eastAsia" w:ascii="宋体" w:hAnsi="宋体" w:eastAsia="宋体" w:cs="宋体"/>
          <w:color w:val="auto"/>
          <w:sz w:val="28"/>
          <w:szCs w:val="28"/>
          <w:lang w:val="en-US" w:eastAsia="zh-CN"/>
        </w:rPr>
        <w:t>支出</w:t>
      </w:r>
      <w:r>
        <w:rPr>
          <w:rFonts w:hint="eastAsia" w:eastAsia="宋体" w:cs="宋体"/>
          <w:color w:val="auto"/>
          <w:sz w:val="28"/>
          <w:szCs w:val="28"/>
          <w:lang w:val="en-US" w:eastAsia="zh-CN"/>
        </w:rPr>
        <w:t>共计</w:t>
      </w:r>
      <w:r>
        <w:rPr>
          <w:rFonts w:hint="eastAsia" w:ascii="宋体" w:hAnsi="宋体" w:eastAsia="宋体" w:cs="宋体"/>
          <w:color w:val="auto"/>
          <w:sz w:val="28"/>
          <w:szCs w:val="28"/>
          <w:lang w:val="en-US" w:eastAsia="zh-CN"/>
        </w:rPr>
        <w:t>2,484.14万元，其中:基本支出189.</w:t>
      </w:r>
      <w:r>
        <w:rPr>
          <w:rFonts w:hint="eastAsia" w:eastAsia="宋体" w:cs="宋体"/>
          <w:color w:val="auto"/>
          <w:sz w:val="28"/>
          <w:szCs w:val="28"/>
          <w:lang w:val="en-US" w:eastAsia="zh-CN"/>
        </w:rPr>
        <w:t>56</w:t>
      </w:r>
      <w:r>
        <w:rPr>
          <w:rFonts w:hint="eastAsia" w:ascii="宋体" w:hAnsi="宋体" w:eastAsia="宋体" w:cs="宋体"/>
          <w:color w:val="auto"/>
          <w:sz w:val="28"/>
          <w:szCs w:val="28"/>
          <w:lang w:val="en-US" w:eastAsia="zh-CN"/>
        </w:rPr>
        <w:t>万元，项目支出2,294.</w:t>
      </w:r>
      <w:r>
        <w:rPr>
          <w:rFonts w:hint="eastAsia" w:eastAsia="宋体" w:cs="宋体"/>
          <w:color w:val="auto"/>
          <w:sz w:val="28"/>
          <w:szCs w:val="28"/>
          <w:lang w:val="en-US" w:eastAsia="zh-CN"/>
        </w:rPr>
        <w:t>58</w:t>
      </w:r>
      <w:r>
        <w:rPr>
          <w:rFonts w:hint="eastAsia" w:ascii="宋体" w:hAnsi="宋体" w:eastAsia="宋体" w:cs="宋体"/>
          <w:color w:val="auto"/>
          <w:sz w:val="28"/>
          <w:szCs w:val="28"/>
          <w:lang w:val="en-US" w:eastAsia="zh-CN"/>
        </w:rPr>
        <w:t>万元</w:t>
      </w:r>
      <w:r>
        <w:rPr>
          <w:rFonts w:hint="eastAsia"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1.基本支出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2022年区退役军人事务局帐面</w:t>
      </w:r>
      <w:r>
        <w:rPr>
          <w:rFonts w:hint="eastAsia" w:ascii="宋体" w:hAnsi="宋体" w:eastAsia="宋体" w:cs="宋体"/>
          <w:b w:val="0"/>
          <w:bCs w:val="0"/>
          <w:color w:val="auto"/>
          <w:sz w:val="28"/>
          <w:szCs w:val="28"/>
          <w:shd w:val="clear" w:color="auto" w:fill="FFFFFF"/>
          <w:lang w:eastAsia="zh-CN"/>
        </w:rPr>
        <w:t>基本支出</w:t>
      </w:r>
      <w:r>
        <w:rPr>
          <w:rFonts w:hint="eastAsia" w:ascii="宋体" w:hAnsi="宋体" w:eastAsia="宋体" w:cs="宋体"/>
          <w:color w:val="auto"/>
          <w:sz w:val="28"/>
          <w:szCs w:val="28"/>
          <w:lang w:val="en-US" w:eastAsia="zh-CN"/>
        </w:rPr>
        <w:t>189.</w:t>
      </w:r>
      <w:r>
        <w:rPr>
          <w:rFonts w:hint="eastAsia" w:eastAsia="宋体" w:cs="宋体"/>
          <w:color w:val="auto"/>
          <w:sz w:val="28"/>
          <w:szCs w:val="28"/>
          <w:lang w:val="en-US" w:eastAsia="zh-CN"/>
        </w:rPr>
        <w:t>56</w:t>
      </w:r>
      <w:r>
        <w:rPr>
          <w:rFonts w:hint="eastAsia" w:ascii="宋体" w:hAnsi="宋体" w:eastAsia="宋体" w:cs="宋体"/>
          <w:color w:val="auto"/>
          <w:sz w:val="28"/>
          <w:szCs w:val="28"/>
          <w:lang w:val="en-US" w:eastAsia="zh-CN"/>
        </w:rPr>
        <w:t>万元</w:t>
      </w:r>
      <w:r>
        <w:rPr>
          <w:rFonts w:hint="eastAsia" w:ascii="宋体" w:hAnsi="宋体" w:eastAsia="宋体" w:cs="宋体"/>
          <w:b w:val="0"/>
          <w:bCs w:val="0"/>
          <w:color w:val="auto"/>
          <w:sz w:val="28"/>
          <w:szCs w:val="28"/>
          <w:shd w:val="clear" w:color="auto" w:fill="FFFFFF"/>
          <w:lang w:eastAsia="zh-CN"/>
        </w:rPr>
        <w:t>，</w:t>
      </w:r>
      <w:r>
        <w:rPr>
          <w:rFonts w:hint="eastAsia" w:ascii="宋体" w:hAnsi="宋体" w:eastAsia="宋体" w:cs="宋体"/>
          <w:b w:val="0"/>
          <w:bCs w:val="0"/>
          <w:color w:val="auto"/>
          <w:sz w:val="28"/>
          <w:szCs w:val="28"/>
          <w:shd w:val="clear" w:color="auto" w:fill="FFFFFF"/>
          <w:lang w:val="en-US" w:eastAsia="zh-CN"/>
        </w:rPr>
        <w:t>其中，人员经费支出</w:t>
      </w:r>
      <w:r>
        <w:rPr>
          <w:rFonts w:hint="eastAsia" w:ascii="宋体" w:hAnsi="宋体" w:eastAsia="宋体" w:cs="宋体"/>
          <w:b w:val="0"/>
          <w:bCs w:val="0"/>
          <w:color w:val="auto"/>
          <w:sz w:val="28"/>
          <w:szCs w:val="28"/>
          <w:shd w:val="clear" w:color="auto" w:fill="FFFFFF"/>
          <w:lang w:val="en-US" w:eastAsia="zh-CN"/>
        </w:rPr>
        <w:t>135.12</w:t>
      </w:r>
      <w:r>
        <w:rPr>
          <w:rFonts w:hint="eastAsia" w:ascii="宋体" w:hAnsi="宋体" w:eastAsia="宋体" w:cs="宋体"/>
          <w:b w:val="0"/>
          <w:bCs w:val="0"/>
          <w:color w:val="auto"/>
          <w:sz w:val="28"/>
          <w:szCs w:val="28"/>
          <w:shd w:val="clear" w:color="auto" w:fill="FFFFFF"/>
          <w:lang w:val="en-US" w:eastAsia="zh-CN"/>
        </w:rPr>
        <w:t>万元，主要是工资福利支出支出135.12万元；公用经费支出54.44万元，包括：商品和服务支出支出53.61万元，其他资本性支出0.83万元。具体明细情况如下：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工资福利支出</w:t>
      </w:r>
      <w:r>
        <w:rPr>
          <w:rFonts w:hint="eastAsia" w:ascii="宋体" w:hAnsi="宋体" w:eastAsia="宋体" w:cs="宋体"/>
          <w:b/>
          <w:bCs/>
          <w:kern w:val="0"/>
          <w:sz w:val="28"/>
          <w:szCs w:val="28"/>
          <w:lang w:val="en-US" w:eastAsia="zh-CN" w:bidi="ar"/>
        </w:rPr>
        <w:t>135.12</w:t>
      </w:r>
      <w:r>
        <w:rPr>
          <w:rFonts w:hint="eastAsia" w:ascii="宋体" w:hAnsi="宋体" w:eastAsia="宋体" w:cs="宋体"/>
          <w:b/>
          <w:bCs w:val="0"/>
          <w:sz w:val="28"/>
          <w:szCs w:val="28"/>
        </w:rPr>
        <w:t>万元</w:t>
      </w:r>
      <w:r>
        <w:rPr>
          <w:rFonts w:hint="eastAsia" w:ascii="宋体" w:hAnsi="宋体" w:eastAsia="宋体" w:cs="宋体"/>
          <w:sz w:val="28"/>
          <w:szCs w:val="28"/>
        </w:rPr>
        <w:t>。</w:t>
      </w:r>
      <w:r>
        <w:rPr>
          <w:rFonts w:hint="eastAsia" w:ascii="宋体" w:hAnsi="宋体" w:eastAsia="宋体" w:cs="宋体"/>
          <w:b/>
          <w:bCs/>
          <w:sz w:val="28"/>
          <w:szCs w:val="28"/>
          <w:lang w:eastAsia="zh-CN"/>
        </w:rPr>
        <w:t>其中</w:t>
      </w:r>
      <w:r>
        <w:rPr>
          <w:rFonts w:hint="eastAsia" w:ascii="宋体" w:hAnsi="宋体" w:eastAsia="宋体" w:cs="宋体"/>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bidi="ar"/>
        </w:rPr>
        <w:t>基本工资</w:t>
      </w:r>
      <w:r>
        <w:rPr>
          <w:rFonts w:hint="eastAsia" w:ascii="宋体" w:hAnsi="宋体" w:eastAsia="宋体" w:cs="宋体"/>
          <w:kern w:val="0"/>
          <w:sz w:val="28"/>
          <w:szCs w:val="28"/>
          <w:lang w:val="en-US" w:eastAsia="zh-CN" w:bidi="ar"/>
        </w:rPr>
        <w:t>支出42.47万元。主要支付</w:t>
      </w:r>
      <w:r>
        <w:rPr>
          <w:rFonts w:hint="eastAsia" w:ascii="宋体" w:hAnsi="宋体" w:eastAsia="宋体" w:cs="宋体"/>
          <w:kern w:val="0"/>
          <w:sz w:val="28"/>
          <w:szCs w:val="28"/>
          <w:lang w:bidi="ar"/>
        </w:rPr>
        <w:t>在编人员</w:t>
      </w:r>
      <w:r>
        <w:rPr>
          <w:rFonts w:hint="eastAsia" w:ascii="宋体" w:hAnsi="宋体" w:eastAsia="宋体" w:cs="宋体"/>
          <w:kern w:val="0"/>
          <w:sz w:val="28"/>
          <w:szCs w:val="28"/>
          <w:highlight w:val="none"/>
          <w:lang w:val="en-US" w:eastAsia="zh-CN" w:bidi="ar"/>
        </w:rPr>
        <w:t>13人（</w:t>
      </w:r>
      <w:r>
        <w:rPr>
          <w:rFonts w:hint="eastAsia" w:ascii="宋体" w:hAnsi="宋体" w:eastAsia="宋体" w:cs="宋体"/>
          <w:kern w:val="0"/>
          <w:sz w:val="28"/>
          <w:szCs w:val="28"/>
          <w:lang w:bidi="ar"/>
        </w:rPr>
        <w:t>公务员</w:t>
      </w:r>
      <w:r>
        <w:rPr>
          <w:rFonts w:hint="eastAsia" w:ascii="宋体" w:hAnsi="宋体" w:eastAsia="宋体" w:cs="宋体"/>
          <w:kern w:val="0"/>
          <w:sz w:val="28"/>
          <w:szCs w:val="28"/>
          <w:lang w:val="en-US" w:eastAsia="zh-CN" w:bidi="ar"/>
        </w:rPr>
        <w:t>3</w:t>
      </w:r>
      <w:r>
        <w:rPr>
          <w:rFonts w:hint="eastAsia" w:ascii="宋体" w:hAnsi="宋体" w:eastAsia="宋体" w:cs="宋体"/>
          <w:kern w:val="0"/>
          <w:sz w:val="28"/>
          <w:szCs w:val="28"/>
          <w:lang w:bidi="ar"/>
        </w:rPr>
        <w:t>名、事业编制</w:t>
      </w:r>
      <w:r>
        <w:rPr>
          <w:rFonts w:hint="eastAsia" w:ascii="宋体" w:hAnsi="宋体" w:eastAsia="宋体" w:cs="宋体"/>
          <w:kern w:val="0"/>
          <w:sz w:val="28"/>
          <w:szCs w:val="28"/>
          <w:lang w:val="en-US" w:eastAsia="zh-CN" w:bidi="ar"/>
        </w:rPr>
        <w:t>9</w:t>
      </w:r>
      <w:r>
        <w:rPr>
          <w:rFonts w:hint="eastAsia" w:ascii="宋体" w:hAnsi="宋体" w:eastAsia="宋体" w:cs="宋体"/>
          <w:kern w:val="0"/>
          <w:sz w:val="28"/>
          <w:szCs w:val="28"/>
          <w:lang w:bidi="ar"/>
        </w:rPr>
        <w:t>人</w:t>
      </w: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bidi="ar"/>
        </w:rPr>
        <w:t>三类人员1 人</w:t>
      </w: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统发基本</w:t>
      </w:r>
      <w:r>
        <w:rPr>
          <w:rFonts w:hint="eastAsia" w:ascii="宋体" w:hAnsi="宋体" w:eastAsia="宋体" w:cs="宋体"/>
          <w:kern w:val="0"/>
          <w:sz w:val="28"/>
          <w:szCs w:val="28"/>
          <w:lang w:eastAsia="zh-CN" w:bidi="ar"/>
        </w:rPr>
        <w:t>工资39.47万元；</w:t>
      </w:r>
      <w:r>
        <w:rPr>
          <w:rFonts w:hint="eastAsia" w:ascii="宋体" w:hAnsi="宋体" w:eastAsia="宋体" w:cs="宋体"/>
          <w:kern w:val="0"/>
          <w:sz w:val="28"/>
          <w:szCs w:val="28"/>
          <w:lang w:val="en-US" w:eastAsia="zh-CN" w:bidi="ar"/>
        </w:rPr>
        <w:t>支</w:t>
      </w:r>
      <w:r>
        <w:rPr>
          <w:rFonts w:hint="eastAsia" w:ascii="宋体" w:hAnsi="宋体" w:eastAsia="宋体" w:cs="宋体"/>
          <w:kern w:val="0"/>
          <w:sz w:val="28"/>
          <w:szCs w:val="28"/>
          <w:lang w:eastAsia="zh-CN" w:bidi="ar"/>
        </w:rPr>
        <w:t>付</w:t>
      </w:r>
      <w:r>
        <w:rPr>
          <w:rFonts w:hint="eastAsia" w:ascii="宋体" w:hAnsi="宋体" w:eastAsia="宋体" w:cs="宋体"/>
          <w:kern w:val="0"/>
          <w:sz w:val="28"/>
          <w:szCs w:val="28"/>
          <w:lang w:val="en-US" w:eastAsia="zh-CN" w:bidi="ar"/>
        </w:rPr>
        <w:t>2022年</w:t>
      </w:r>
      <w:r>
        <w:rPr>
          <w:rFonts w:hint="eastAsia" w:ascii="宋体" w:hAnsi="宋体" w:eastAsia="宋体" w:cs="宋体"/>
          <w:kern w:val="0"/>
          <w:sz w:val="28"/>
          <w:szCs w:val="28"/>
          <w:lang w:eastAsia="zh-CN" w:bidi="ar"/>
        </w:rPr>
        <w:t>8月、9月份津补贴2.8</w:t>
      </w:r>
      <w:r>
        <w:rPr>
          <w:rFonts w:hint="eastAsia" w:ascii="宋体" w:hAnsi="宋体" w:eastAsia="宋体" w:cs="宋体"/>
          <w:kern w:val="0"/>
          <w:sz w:val="28"/>
          <w:szCs w:val="28"/>
          <w:lang w:val="en-US" w:eastAsia="zh-CN" w:bidi="ar"/>
        </w:rPr>
        <w:t>0</w:t>
      </w:r>
      <w:r>
        <w:rPr>
          <w:rFonts w:hint="eastAsia" w:ascii="宋体" w:hAnsi="宋体" w:eastAsia="宋体" w:cs="宋体"/>
          <w:kern w:val="0"/>
          <w:sz w:val="28"/>
          <w:szCs w:val="28"/>
          <w:lang w:eastAsia="zh-CN" w:bidi="ar"/>
        </w:rPr>
        <w:t>万元，补缴</w:t>
      </w:r>
      <w:r>
        <w:rPr>
          <w:rFonts w:hint="eastAsia" w:ascii="宋体" w:hAnsi="宋体" w:eastAsia="宋体" w:cs="宋体"/>
          <w:kern w:val="0"/>
          <w:sz w:val="28"/>
          <w:szCs w:val="28"/>
          <w:lang w:val="en-US" w:eastAsia="zh-CN" w:bidi="ar"/>
        </w:rPr>
        <w:t>在职人员</w:t>
      </w:r>
      <w:r>
        <w:rPr>
          <w:rFonts w:hint="eastAsia" w:ascii="宋体" w:hAnsi="宋体" w:eastAsia="宋体" w:cs="宋体"/>
          <w:kern w:val="0"/>
          <w:sz w:val="28"/>
          <w:szCs w:val="28"/>
          <w:lang w:eastAsia="zh-CN" w:bidi="ar"/>
        </w:rPr>
        <w:t>公积金0.2万元。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bidi="ar"/>
        </w:rPr>
        <w:t>津贴补贴</w:t>
      </w:r>
      <w:r>
        <w:rPr>
          <w:rFonts w:hint="eastAsia" w:ascii="宋体" w:hAnsi="宋体" w:eastAsia="宋体" w:cs="宋体"/>
          <w:kern w:val="0"/>
          <w:sz w:val="28"/>
          <w:szCs w:val="28"/>
          <w:lang w:val="en-US" w:eastAsia="zh-CN" w:bidi="ar"/>
        </w:rPr>
        <w:t>25.45万元。主要支付在职人员2022年度、2023年1月津补贴16.71万元，包括国家津贴补贴、信访补贴（3人）、审计补贴（1人）；支付2022年养老保险缴费4.01万元；医疗保险缴费0.77万元；李凯（三类人员）2022年住房公积金、保险费、职业年金共3.96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highlight w:val="none"/>
          <w:lang w:val="en-US" w:eastAsia="zh-CN" w:bidi="ar"/>
        </w:rPr>
        <w:t>奖金2.18万元。主要支付2021年考核嘉奖0.9万元，公务员3人第13个月工资1.28万元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highlight w:val="none"/>
          <w:lang w:val="en-US" w:eastAsia="zh-CN" w:bidi="ar"/>
        </w:rPr>
        <w:t>绩效考核奖40.42万元。主要预发基础绩效奖11.34万元（9人*1.26万元/人），预发2021年考核绩效奖7.00万元（2021年10人*7000元/人），补缴2021-2022年绩效奖公积金22.04万元、补发职级晋升工资0.04万元。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社会保险缴费支出17.51万元。主要支付机关事业单位基本养老保险缴费9.95万元、职业年金缴纳0.3万元、职工基本医疗保险缴费4.61万元、公务员医疗补助缴费1.88万元、其他社会保障缴费0.77万元。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住房公积金等费用3.27万元。支付</w:t>
      </w:r>
      <w:r>
        <w:rPr>
          <w:rFonts w:hint="eastAsia" w:ascii="宋体" w:hAnsi="宋体" w:eastAsia="宋体" w:cs="宋体"/>
          <w:kern w:val="0"/>
          <w:sz w:val="28"/>
          <w:szCs w:val="28"/>
          <w:highlight w:val="none"/>
          <w:lang w:val="en-US" w:eastAsia="zh-CN" w:bidi="ar"/>
        </w:rPr>
        <w:t>补缴2021-2022年绩效奖公积金2.51万元，</w:t>
      </w:r>
      <w:r>
        <w:rPr>
          <w:rFonts w:hint="eastAsia" w:ascii="宋体" w:hAnsi="宋体" w:eastAsia="宋体" w:cs="宋体"/>
          <w:kern w:val="0"/>
          <w:sz w:val="28"/>
          <w:szCs w:val="28"/>
          <w:lang w:val="en-US" w:eastAsia="zh-CN" w:bidi="ar"/>
        </w:rPr>
        <w:t>郑远住房公积金0.76万元（505元/月）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伙食补助费0.61万元。2022年疫情值班误餐费（10人节假日100元/天，工作日值班晚餐补助40元/餐）。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lang w:val="en-US" w:eastAsia="zh-CN" w:bidi="ar"/>
        </w:rPr>
        <w:t>其他工资福利支出3.21万元。主要支付公车改革交通补贴2.22万元，按标准补贴（650元*1人/月，600元*2人/月）；公车改革职级并行享受交通补贴0.29万元；其他支出0.7万元，主要支付实习人员1 人补贴（1200元/月）。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eastAsia="zh-CN" w:bidi="ar"/>
        </w:rPr>
        <w:t>（</w:t>
      </w:r>
      <w:r>
        <w:rPr>
          <w:rFonts w:hint="eastAsia" w:ascii="宋体" w:hAnsi="宋体" w:eastAsia="宋体" w:cs="宋体"/>
          <w:b/>
          <w:bCs/>
          <w:kern w:val="0"/>
          <w:sz w:val="28"/>
          <w:szCs w:val="28"/>
          <w:lang w:val="en-US" w:eastAsia="zh-CN" w:bidi="ar"/>
        </w:rPr>
        <w:t>2）</w:t>
      </w:r>
      <w:r>
        <w:rPr>
          <w:rFonts w:hint="eastAsia" w:ascii="宋体" w:hAnsi="宋体" w:eastAsia="宋体" w:cs="宋体"/>
          <w:b/>
          <w:bCs/>
          <w:kern w:val="0"/>
          <w:sz w:val="28"/>
          <w:szCs w:val="28"/>
          <w:lang w:bidi="ar"/>
        </w:rPr>
        <w:t>商品和服务支出</w:t>
      </w:r>
      <w:r>
        <w:rPr>
          <w:rFonts w:hint="eastAsia" w:ascii="宋体" w:hAnsi="宋体" w:eastAsia="宋体" w:cs="宋体"/>
          <w:b/>
          <w:bCs/>
          <w:color w:val="auto"/>
          <w:sz w:val="28"/>
          <w:szCs w:val="28"/>
          <w:shd w:val="clear" w:color="auto" w:fill="FFFFFF"/>
          <w:lang w:val="en-US" w:eastAsia="zh-CN"/>
        </w:rPr>
        <w:t>53.61</w:t>
      </w:r>
      <w:r>
        <w:rPr>
          <w:rFonts w:hint="eastAsia" w:ascii="宋体" w:hAnsi="宋体" w:eastAsia="宋体" w:cs="宋体"/>
          <w:b/>
          <w:bCs/>
          <w:kern w:val="0"/>
          <w:sz w:val="28"/>
          <w:szCs w:val="28"/>
          <w:lang w:bidi="ar"/>
        </w:rPr>
        <w:t>万元</w:t>
      </w:r>
      <w:r>
        <w:rPr>
          <w:rFonts w:hint="eastAsia" w:ascii="宋体" w:hAnsi="宋体" w:eastAsia="宋体" w:cs="宋体"/>
          <w:kern w:val="0"/>
          <w:sz w:val="28"/>
          <w:szCs w:val="28"/>
          <w:lang w:bidi="ar"/>
        </w:rPr>
        <w:t>。</w:t>
      </w:r>
      <w:r>
        <w:rPr>
          <w:rFonts w:hint="eastAsia" w:ascii="宋体" w:hAnsi="宋体" w:eastAsia="宋体" w:cs="宋体"/>
          <w:kern w:val="0"/>
          <w:sz w:val="28"/>
          <w:szCs w:val="28"/>
          <w:lang w:eastAsia="zh-CN" w:bidi="ar"/>
        </w:rPr>
        <w:t>其中</w:t>
      </w:r>
      <w:r>
        <w:rPr>
          <w:rFonts w:hint="eastAsia" w:ascii="宋体" w:hAnsi="宋体" w:eastAsia="宋体" w:cs="宋体"/>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kern w:val="0"/>
          <w:sz w:val="28"/>
          <w:szCs w:val="28"/>
          <w:lang w:bidi="ar"/>
        </w:rPr>
        <w:t>办公费</w:t>
      </w:r>
      <w:r>
        <w:rPr>
          <w:rFonts w:hint="eastAsia" w:ascii="宋体" w:hAnsi="宋体" w:eastAsia="宋体" w:cs="宋体"/>
          <w:kern w:val="0"/>
          <w:sz w:val="28"/>
          <w:szCs w:val="28"/>
          <w:lang w:val="en-US" w:eastAsia="zh-CN" w:bidi="ar"/>
        </w:rPr>
        <w:t>1.88万元。支</w:t>
      </w:r>
      <w:r>
        <w:rPr>
          <w:rFonts w:hint="eastAsia" w:ascii="宋体" w:hAnsi="宋体" w:eastAsia="宋体" w:cs="宋体"/>
          <w:color w:val="auto"/>
          <w:kern w:val="0"/>
          <w:sz w:val="28"/>
          <w:szCs w:val="28"/>
          <w:highlight w:val="none"/>
          <w:lang w:val="en-US" w:eastAsia="zh-CN" w:bidi="ar"/>
        </w:rPr>
        <w:t>付购置电脑耗材、报刊订阅、刻章等支出。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咨询费4.3万元。付光荣院项目建设咨询费2万元、付聘请法律顾问费用1.6万元、付财务软件系统服务费0.69万元。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bidi="ar"/>
        </w:rPr>
        <w:t>差旅费</w:t>
      </w:r>
      <w:r>
        <w:rPr>
          <w:rFonts w:hint="eastAsia" w:ascii="宋体" w:hAnsi="宋体" w:eastAsia="宋体" w:cs="宋体"/>
          <w:kern w:val="0"/>
          <w:sz w:val="28"/>
          <w:szCs w:val="28"/>
          <w:lang w:val="en-US" w:eastAsia="zh-CN" w:bidi="ar"/>
        </w:rPr>
        <w:t>1.96万元。支付机关工作人员差旅费。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eastAsia="zh-CN" w:bidi="ar"/>
        </w:rPr>
        <w:t>维修（护）费</w:t>
      </w:r>
      <w:r>
        <w:rPr>
          <w:rFonts w:hint="eastAsia" w:ascii="宋体" w:hAnsi="宋体" w:eastAsia="宋体" w:cs="宋体"/>
          <w:kern w:val="0"/>
          <w:sz w:val="28"/>
          <w:szCs w:val="28"/>
          <w:lang w:val="en-US" w:eastAsia="zh-CN" w:bidi="ar"/>
        </w:rPr>
        <w:t>0.19万元。支付空调清洗费、电话网络维修费用等。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kern w:val="0"/>
          <w:sz w:val="28"/>
          <w:szCs w:val="28"/>
          <w:lang w:val="en-US" w:eastAsia="zh-CN" w:bidi="ar"/>
        </w:rPr>
        <w:t>培训费0.48万元。支付教育培训费、事业人员年度培训、事业管理培训费用。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公务接待费1.23万元。支付接待市退役军人事务局餐费、接待省审计核查组餐费费用、接待湘阴退役军人事务局餐费费用等。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委托业务费0.15万元。支付财务年度决算技术服务费用。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lang w:val="en-US" w:eastAsia="zh-CN" w:bidi="ar"/>
        </w:rPr>
        <w:t>工会经费8.00万元。拨付</w:t>
      </w:r>
      <w:r>
        <w:rPr>
          <w:rFonts w:hint="eastAsia" w:ascii="宋体" w:hAnsi="宋体" w:eastAsia="宋体" w:cs="宋体"/>
          <w:kern w:val="0"/>
          <w:sz w:val="28"/>
          <w:szCs w:val="28"/>
          <w:highlight w:val="none"/>
          <w:lang w:val="en-US" w:eastAsia="zh-CN" w:bidi="ar"/>
        </w:rPr>
        <w:t>局工会行政补助经费7.00万元、支付双联帮扶资金1.00万元。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其他商品和服务支出35.42万元。其中：支付党建开支0.37万元；扶贫开支0.36万元；</w:t>
      </w:r>
      <w:r>
        <w:rPr>
          <w:rFonts w:hint="eastAsia" w:ascii="宋体" w:hAnsi="宋体" w:eastAsia="宋体" w:cs="宋体"/>
          <w:kern w:val="0"/>
          <w:sz w:val="28"/>
          <w:szCs w:val="28"/>
          <w:highlight w:val="none"/>
          <w:lang w:val="en-US" w:eastAsia="zh-CN" w:bidi="ar"/>
        </w:rPr>
        <w:t>食堂开支8.08万元（</w:t>
      </w:r>
      <w:r>
        <w:rPr>
          <w:rFonts w:hint="eastAsia" w:ascii="宋体" w:hAnsi="宋体" w:eastAsia="宋体" w:cs="宋体"/>
          <w:kern w:val="0"/>
          <w:sz w:val="28"/>
          <w:szCs w:val="28"/>
          <w:lang w:val="en-US" w:eastAsia="zh-CN" w:bidi="ar"/>
        </w:rPr>
        <w:t>包括食堂补贴3.19万元、食堂人员工资及服务费约4.08万元、食堂易耗品费用0.81万元）；工作用餐0.32万元；云溪年鉴费用、打印资料费、学法书籍费用等资料费1.74万元；宣传费22.84万元，包括付春风行动展板费、2022年退役士兵返乡欢迎仪式暨就业创业培训开班仪式费用、散葬烈士墓集中迁移仪式开支、付烈士广场广告标牌制作费、付双拥林基地宣传费用、其他宣传资料费用；其他费用1.71万元，包括购置植树苗及茶叶费用、五四活动费、付散葬烈士墓集中迁移仪式开支、付防疫药品等其他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bCs/>
          <w:kern w:val="0"/>
          <w:sz w:val="28"/>
          <w:szCs w:val="28"/>
          <w:lang w:val="en-US" w:eastAsia="zh-CN" w:bidi="ar"/>
        </w:rPr>
        <w:t>(3)其他资本性支出0.83万元。</w:t>
      </w:r>
      <w:r>
        <w:rPr>
          <w:rFonts w:hint="eastAsia" w:ascii="宋体" w:hAnsi="宋体" w:eastAsia="宋体" w:cs="宋体"/>
          <w:b w:val="0"/>
          <w:bCs w:val="0"/>
          <w:kern w:val="0"/>
          <w:sz w:val="28"/>
          <w:szCs w:val="28"/>
          <w:lang w:val="en-US" w:eastAsia="zh-CN" w:bidi="ar"/>
        </w:rPr>
        <w:t>其中：支付购置办公室笔记本电脑、电脑显示器费用。</w:t>
      </w:r>
    </w:p>
    <w:p>
      <w:pPr>
        <w:pStyle w:val="12"/>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具体情况如下表：</w:t>
      </w:r>
    </w:p>
    <w:p>
      <w:pPr>
        <w:rPr>
          <w:rFonts w:hint="eastAsia" w:ascii="宋体" w:hAnsi="宋体" w:eastAsia="宋体" w:cs="宋体"/>
          <w:b w:val="0"/>
          <w:bCs w:val="0"/>
          <w:kern w:val="0"/>
          <w:sz w:val="28"/>
          <w:szCs w:val="28"/>
          <w:lang w:val="en-US" w:eastAsia="zh-CN" w:bidi="ar"/>
        </w:rPr>
      </w:pPr>
    </w:p>
    <w:p>
      <w:pPr>
        <w:rPr>
          <w:rFonts w:hint="eastAsia" w:ascii="宋体" w:hAnsi="宋体" w:eastAsia="宋体" w:cs="宋体"/>
          <w:b w:val="0"/>
          <w:bCs w:val="0"/>
          <w:kern w:val="0"/>
          <w:sz w:val="28"/>
          <w:szCs w:val="28"/>
          <w:lang w:val="en-US" w:eastAsia="zh-CN" w:bidi="ar"/>
        </w:rPr>
      </w:pPr>
    </w:p>
    <w:tbl>
      <w:tblPr>
        <w:tblStyle w:val="23"/>
        <w:tblW w:w="927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8"/>
        <w:gridCol w:w="1233"/>
        <w:gridCol w:w="6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6184" w:type="dxa"/>
            <w:vMerge w:val="restart"/>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8EA9DB"/>
            <w:noWrap/>
            <w:vAlign w:val="center"/>
          </w:tcPr>
          <w:p>
            <w:pPr>
              <w:jc w:val="center"/>
              <w:rPr>
                <w:rFonts w:hint="eastAsia" w:ascii="宋体" w:hAnsi="宋体" w:eastAsia="宋体" w:cs="宋体"/>
                <w:b/>
                <w:bCs/>
                <w:i w:val="0"/>
                <w:iCs w:val="0"/>
                <w:color w:val="000000"/>
                <w:sz w:val="20"/>
                <w:szCs w:val="20"/>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8EA9DB"/>
            <w:noWrap/>
            <w:vAlign w:val="center"/>
          </w:tcPr>
          <w:p>
            <w:pPr>
              <w:jc w:val="center"/>
              <w:rPr>
                <w:rFonts w:hint="eastAsia" w:ascii="宋体" w:hAnsi="宋体" w:eastAsia="宋体" w:cs="宋体"/>
                <w:b/>
                <w:bCs/>
                <w:i w:val="0"/>
                <w:iCs w:val="0"/>
                <w:color w:val="000000"/>
                <w:sz w:val="20"/>
                <w:szCs w:val="20"/>
                <w:u w:val="none"/>
              </w:rPr>
            </w:pPr>
          </w:p>
        </w:tc>
        <w:tc>
          <w:tcPr>
            <w:tcW w:w="6184" w:type="dxa"/>
            <w:vMerge w:val="continue"/>
            <w:tcBorders>
              <w:top w:val="single" w:color="000000" w:sz="4" w:space="0"/>
              <w:left w:val="single" w:color="000000" w:sz="4" w:space="0"/>
              <w:bottom w:val="single" w:color="000000" w:sz="4" w:space="0"/>
              <w:right w:val="single" w:color="000000" w:sz="4" w:space="0"/>
            </w:tcBorders>
            <w:shd w:val="clear" w:color="auto" w:fill="8EA9DB"/>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基本支出合计</w:t>
            </w:r>
          </w:p>
        </w:tc>
        <w:tc>
          <w:tcPr>
            <w:tcW w:w="1233"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1,895,613.21</w:t>
            </w:r>
          </w:p>
        </w:tc>
        <w:tc>
          <w:tcPr>
            <w:tcW w:w="6184" w:type="dxa"/>
            <w:tcBorders>
              <w:top w:val="single" w:color="000000" w:sz="4" w:space="0"/>
              <w:left w:val="single" w:color="000000" w:sz="4" w:space="0"/>
              <w:bottom w:val="single" w:color="000000" w:sz="4" w:space="0"/>
              <w:right w:val="single" w:color="000000" w:sz="4" w:space="0"/>
            </w:tcBorders>
            <w:shd w:val="clear" w:color="auto" w:fill="D9E1F2"/>
            <w:noWrap w:val="0"/>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(一)工资福利支出</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1,351,187.26</w:t>
            </w:r>
          </w:p>
        </w:tc>
        <w:tc>
          <w:tcPr>
            <w:tcW w:w="61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1.基本工资</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424,676.00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1.2022年统发工资39.47万元，其中1-8月9人、至12月止12人，公务员3名、事业编制8人三类人员1 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2.支付机关人员8月、9月份津补贴2.8万元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3.补缴机关人员职工住房公积金0.2万元.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2.津贴补贴</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254,500.00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1.局在职人员2022年度、2023年1月共13个月津补贴16.71万元，包括津贴补贴、信访补贴3人、审计补贴1人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2.付局在职人员2022年养老保险缴费4.01万元；医疗缴费1-11月0.77万元；在职人员（三类人员）李凯住房公积金0.46万元、保险费1.02万元、职业年金2.48万元。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3.奖金</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21,825.00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1.局在职人员2021年考核嘉奖0.9万元，其中3等功2个0.6万元，嘉奖2个0.3万元；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2.正、副科级公务员3人第13个月工资1.28万元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4.绩效考核奖</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404,230.00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1.1月支付在职人员预发基础绩效奖11.34万元，9人按每人1.26万元发放。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2.9月预发2021年考核绩效奖7万元（2021年10人*7000元/人）11月2021-2022年绩效奖及2022年补缴公积金。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3.付2021-2022年绩效奖22.08万元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5.机关事业单位基本养老保险缴费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99,533.48</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2022年局工作人员养老保险9.95万元，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6.职业年金缴费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2,907.40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三类人员李凯职业年金缴费0.29万元，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7.职工基本医疗保险缴费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46,127.98</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2022年机关人员医疗保险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8.公务员医疗补助缴费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18,774.08</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2022年机关公务员医疗补助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9.其他社会保障缴费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7,712.32</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付工伤保险缴费0.29万元、付2022年度缴纳职工残保金0.48万元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10.住房公积金</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32,721.00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1.付三类人员郑远缴公住房公积金0.76万元（505元/月）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2.支付2021-2022年补缴公积金2.51万元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3.增加基本工资支出中0.2万元，津贴补贴中0.46万元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11.伙食补助费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6,100.00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1.2022年疫情值班误餐费0.5万元，其中10人节假日33天、100元/天工作日值班天数42天晚餐补助40元/餐，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2.值班误餐费0.11万元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12.其他工资福利支出</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32,080.00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1.公车改革交通补贴2.51万元，其中：2022年公车改革职级并行享受交通补贴2.22万元（共3人，标准650元*1人/月，600元*2人/月）；付2022年公车改革职级并行享受交通补贴0.29万元。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2.其他支出0.7万元，支付实习人员补贴（1 人，1200元/月）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(二）商品和服务支出</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536,145.95</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1.办公费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18,827.95</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1.报刊杂志费用0.43万元，付《中国退役军人》杂志费用、财务报刊费等;办公用品及耗材1.45万元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2.咨询费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42,960.00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付光荣院项目建设咨询费合同款2万元、付聘请法律顾问费用1.6万元、付财务软件系统服务费0.69万元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3.差旅费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19,646.50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机关工作人员差旅费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4.维修（护）费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付空调清洗费、电话网络维修费用等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5.培训费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4,829.00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付教育培训费、事业人员年度培训、事业管理培训费用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6.公务接待费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12,260.00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付接待市退役军人事务局餐费、接待省审计核查组餐费费用、接待湘阴退役军人事务局餐费、接待部队相关人员用餐费用等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7.委托业务费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付财务年度决算技术服务费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8.工会经费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2022年1月拨付工会经费2万元、11月拨付工会5万元；双联帮扶资金1万元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9.其他商品和服务支出</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354,182.50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党建开支</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3,702.00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付党史知识竞赛、付理论宣讲授课费、“八一”党建活动用餐开支款等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扶贫开支</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3,641.70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付购置脱贫地区农副产品费用、付政府采购电子卖场乡村振兴馆产品费用等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食堂生活开支</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31,905.60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付食堂补贴，月均补贴0.26万元，人均13元/天（10人）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食堂其他开支</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48,853.00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付食堂人员工资及服务费约4.08万元（3400元/月*1人），食堂易耗品费用等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工作用餐</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3,184.00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加班工作餐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17,362.95</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云溪年鉴费用、打印资料费、学法书籍费用、打印店复印打字资料费用等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宣传费</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228,445.00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春风行动展板费0.38万元、付2022年退役士兵返乡欢迎仪式暨就业创业培训开班仪式费用0.18万元、付散葬烈士墓集中迁移仪式开支0.64万元、付烈士广场广告标牌制作费9.97万元、付双拥林基地宣传费用5.82万元、其他宣传资料费用5.85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其他费用</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17,088.25</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付植树苗费0.45万元、付机关购茶叶0.2万元、付五四活动费0.14万元、付散葬烈士墓集中迁移仪式开支0.21万元、付防疫药品等其他费用。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(三）资本性支出</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8,280.00</w:t>
            </w:r>
          </w:p>
        </w:tc>
        <w:tc>
          <w:tcPr>
            <w:tcW w:w="6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付办公设备购置（办公室笔记本电脑、付电脑显示器费用）</w:t>
            </w:r>
          </w:p>
        </w:tc>
      </w:tr>
    </w:tbl>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center"/>
        <w:rPr>
          <w:rFonts w:hint="eastAsia" w:ascii="宋体" w:hAnsi="宋体" w:eastAsia="宋体" w:cs="宋体"/>
          <w:b/>
          <w:bCs/>
          <w:kern w:val="0"/>
          <w:sz w:val="28"/>
          <w:szCs w:val="2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2.项目支出（专项经费）情况</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val="0"/>
          <w:bCs w:val="0"/>
          <w:kern w:val="0"/>
          <w:sz w:val="28"/>
          <w:szCs w:val="28"/>
          <w:lang w:val="en-US" w:eastAsia="zh-CN" w:bidi="ar"/>
        </w:rPr>
        <w:t>2022年专项经费（财务帐列入基本支出中“</w:t>
      </w:r>
      <w:r>
        <w:rPr>
          <w:rFonts w:hint="eastAsia" w:ascii="宋体" w:hAnsi="宋体" w:eastAsia="宋体" w:cs="宋体"/>
          <w:b w:val="0"/>
          <w:bCs w:val="0"/>
          <w:color w:val="auto"/>
          <w:sz w:val="28"/>
          <w:szCs w:val="28"/>
          <w:shd w:val="clear" w:color="auto" w:fill="FFFFFF"/>
          <w:lang w:val="en-US" w:eastAsia="zh-CN"/>
        </w:rPr>
        <w:t>个人和家庭的补助”）2,294.58万元，</w:t>
      </w:r>
      <w:r>
        <w:rPr>
          <w:rFonts w:hint="eastAsia" w:ascii="宋体" w:hAnsi="宋体" w:eastAsia="宋体" w:cs="宋体"/>
          <w:b w:val="0"/>
          <w:bCs w:val="0"/>
          <w:kern w:val="0"/>
          <w:sz w:val="28"/>
          <w:szCs w:val="28"/>
          <w:lang w:val="en-US" w:eastAsia="zh-CN" w:bidi="ar"/>
        </w:rPr>
        <w:t>具体支付明细如下。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bCs/>
          <w:kern w:val="0"/>
          <w:sz w:val="28"/>
          <w:szCs w:val="28"/>
          <w:lang w:val="en-US" w:eastAsia="zh-CN" w:bidi="ar"/>
        </w:rPr>
        <w:t>（1）优抚抚恤经费支出1724.25万元，其中：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lang w:val="en-US" w:eastAsia="zh-CN" w:bidi="ar"/>
        </w:rPr>
        <w:t>①优</w:t>
      </w:r>
      <w:r>
        <w:rPr>
          <w:rFonts w:hint="eastAsia" w:ascii="宋体" w:hAnsi="宋体" w:eastAsia="宋体" w:cs="宋体"/>
          <w:b w:val="0"/>
          <w:bCs w:val="0"/>
          <w:kern w:val="0"/>
          <w:sz w:val="28"/>
          <w:szCs w:val="28"/>
          <w:lang w:val="en-US" w:eastAsia="zh-CN" w:bidi="ar"/>
        </w:rPr>
        <w:t>抚对象固定经费758.80万元。支付2022年度优抚对象固定经费758.80万元(约811人、63.23万元/月），</w:t>
      </w:r>
      <w:r>
        <w:rPr>
          <w:rFonts w:hint="eastAsia" w:ascii="宋体" w:hAnsi="宋体" w:eastAsia="宋体" w:cs="宋体"/>
          <w:b w:val="0"/>
          <w:bCs w:val="0"/>
          <w:kern w:val="0"/>
          <w:sz w:val="28"/>
          <w:szCs w:val="28"/>
          <w:highlight w:val="none"/>
          <w:lang w:val="en-US" w:eastAsia="zh-CN" w:bidi="ar"/>
        </w:rPr>
        <w:t>2023年1-2月优抚对象固定经费130.7万元(65.35万元/月）。一卡通打卡发放。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lang w:val="en-US" w:eastAsia="zh-CN" w:bidi="ar"/>
        </w:rPr>
        <w:t>②</w:t>
      </w:r>
      <w:r>
        <w:rPr>
          <w:rFonts w:hint="eastAsia" w:ascii="宋体" w:hAnsi="宋体" w:eastAsia="宋体" w:cs="宋体"/>
          <w:b w:val="0"/>
          <w:bCs w:val="0"/>
          <w:kern w:val="0"/>
          <w:sz w:val="28"/>
          <w:szCs w:val="28"/>
          <w:highlight w:val="none"/>
          <w:lang w:val="en-US" w:eastAsia="zh-CN" w:bidi="ar"/>
        </w:rPr>
        <w:t>价格临时补贴</w:t>
      </w:r>
      <w:r>
        <w:rPr>
          <w:rFonts w:hint="eastAsia" w:ascii="宋体" w:hAnsi="宋体" w:eastAsia="宋体" w:cs="宋体"/>
          <w:b w:val="0"/>
          <w:bCs w:val="0"/>
          <w:kern w:val="0"/>
          <w:sz w:val="28"/>
          <w:szCs w:val="28"/>
          <w:lang w:val="en-US" w:eastAsia="zh-CN" w:bidi="ar"/>
        </w:rPr>
        <w:t>5.09万元。</w:t>
      </w:r>
      <w:r>
        <w:rPr>
          <w:rFonts w:hint="eastAsia" w:ascii="宋体" w:hAnsi="宋体" w:eastAsia="宋体" w:cs="宋体"/>
          <w:b w:val="0"/>
          <w:bCs w:val="0"/>
          <w:kern w:val="0"/>
          <w:sz w:val="28"/>
          <w:szCs w:val="28"/>
          <w:highlight w:val="none"/>
          <w:lang w:val="en-US" w:eastAsia="zh-CN" w:bidi="ar"/>
        </w:rPr>
        <w:t>支付优</w:t>
      </w:r>
      <w:r>
        <w:rPr>
          <w:rFonts w:hint="eastAsia" w:ascii="宋体" w:hAnsi="宋体" w:eastAsia="宋体" w:cs="宋体"/>
          <w:b w:val="0"/>
          <w:bCs w:val="0"/>
          <w:kern w:val="0"/>
          <w:sz w:val="28"/>
          <w:szCs w:val="28"/>
          <w:lang w:val="en-US" w:eastAsia="zh-CN" w:bidi="ar"/>
        </w:rPr>
        <w:t>抚对象2022年8-10月价格临时补贴5.09万元（约821人、20元/月/人）。</w:t>
      </w:r>
      <w:r>
        <w:rPr>
          <w:rFonts w:hint="eastAsia" w:ascii="宋体" w:hAnsi="宋体" w:eastAsia="宋体" w:cs="宋体"/>
          <w:b w:val="0"/>
          <w:bCs w:val="0"/>
          <w:kern w:val="0"/>
          <w:sz w:val="28"/>
          <w:szCs w:val="28"/>
          <w:highlight w:val="none"/>
          <w:lang w:val="en-US" w:eastAsia="zh-CN" w:bidi="ar"/>
        </w:rPr>
        <w:t>一卡通打卡发放。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③伤</w:t>
      </w:r>
      <w:r>
        <w:rPr>
          <w:rFonts w:hint="eastAsia" w:ascii="宋体" w:hAnsi="宋体" w:eastAsia="宋体" w:cs="宋体"/>
          <w:b w:val="0"/>
          <w:bCs w:val="0"/>
          <w:kern w:val="0"/>
          <w:sz w:val="28"/>
          <w:szCs w:val="28"/>
          <w:lang w:val="en-US" w:eastAsia="zh-CN" w:bidi="ar"/>
        </w:rPr>
        <w:t>残抚恤7.86万元。支付伤残军人养老保险5.16万元（6人）、医保2.7万元（11人）。</w:t>
      </w:r>
      <w:r>
        <w:rPr>
          <w:rFonts w:hint="eastAsia" w:ascii="宋体" w:hAnsi="宋体" w:eastAsia="宋体" w:cs="宋体"/>
          <w:b w:val="0"/>
          <w:bCs w:val="0"/>
          <w:kern w:val="0"/>
          <w:sz w:val="28"/>
          <w:szCs w:val="28"/>
          <w:highlight w:val="none"/>
          <w:lang w:val="en-US" w:eastAsia="zh-CN" w:bidi="ar"/>
        </w:rPr>
        <w:t>一卡通打卡发放。</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highlight w:val="none"/>
          <w:lang w:val="en-US" w:eastAsia="zh-CN" w:bidi="ar"/>
        </w:rPr>
        <w:t>④</w:t>
      </w:r>
      <w:r>
        <w:rPr>
          <w:rFonts w:hint="eastAsia" w:ascii="宋体" w:hAnsi="宋体" w:eastAsia="宋体" w:cs="宋体"/>
          <w:b w:val="0"/>
          <w:bCs w:val="0"/>
          <w:kern w:val="0"/>
          <w:sz w:val="28"/>
          <w:szCs w:val="28"/>
          <w:lang w:val="en-US" w:eastAsia="zh-CN" w:bidi="ar"/>
        </w:rPr>
        <w:t>义务兵家庭优待金185.4万元。支付义务兵家庭优待金、入职消防员家庭优待金。</w:t>
      </w:r>
      <w:r>
        <w:rPr>
          <w:rFonts w:hint="eastAsia" w:ascii="宋体" w:hAnsi="宋体" w:eastAsia="宋体" w:cs="宋体"/>
          <w:b w:val="0"/>
          <w:bCs w:val="0"/>
          <w:kern w:val="0"/>
          <w:sz w:val="28"/>
          <w:szCs w:val="28"/>
          <w:highlight w:val="none"/>
          <w:lang w:val="en-US" w:eastAsia="zh-CN" w:bidi="ar"/>
        </w:rPr>
        <w:t>一卡通打卡发放。</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highlight w:val="none"/>
          <w:lang w:val="en-US" w:eastAsia="zh-CN" w:bidi="ar"/>
        </w:rPr>
        <w:t>⑤</w:t>
      </w:r>
      <w:r>
        <w:rPr>
          <w:rFonts w:hint="eastAsia" w:ascii="宋体" w:hAnsi="宋体" w:eastAsia="宋体" w:cs="宋体"/>
          <w:b w:val="0"/>
          <w:bCs w:val="0"/>
          <w:kern w:val="0"/>
          <w:sz w:val="28"/>
          <w:szCs w:val="28"/>
          <w:lang w:val="en-US" w:eastAsia="zh-CN" w:bidi="ar"/>
        </w:rPr>
        <w:t>医疗补助53.65万元。支付优抚对象医疗补助、重点优抚对象门诊医疗补助、医疗救助、医疗参保补助）</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highlight w:val="none"/>
          <w:lang w:val="en-US" w:eastAsia="zh-CN" w:bidi="ar"/>
        </w:rPr>
        <w:t>⑥</w:t>
      </w:r>
      <w:r>
        <w:rPr>
          <w:rFonts w:hint="eastAsia" w:ascii="宋体" w:hAnsi="宋体" w:eastAsia="宋体" w:cs="宋体"/>
          <w:b w:val="0"/>
          <w:bCs w:val="0"/>
          <w:kern w:val="0"/>
          <w:sz w:val="28"/>
          <w:szCs w:val="28"/>
          <w:highlight w:val="none"/>
          <w:lang w:val="en-US" w:eastAsia="zh-CN" w:bidi="ar"/>
        </w:rPr>
        <w:t>抚恤补助391.57万元。包括：</w:t>
      </w:r>
      <w:r>
        <w:rPr>
          <w:rFonts w:hint="eastAsia" w:ascii="宋体" w:hAnsi="宋体" w:eastAsia="宋体" w:cs="宋体"/>
          <w:b/>
          <w:bCs/>
          <w:kern w:val="0"/>
          <w:sz w:val="28"/>
          <w:szCs w:val="28"/>
          <w:lang w:val="en-US" w:eastAsia="zh-CN" w:bidi="ar"/>
        </w:rPr>
        <w:t>一是</w:t>
      </w:r>
      <w:r>
        <w:rPr>
          <w:rFonts w:hint="eastAsia" w:ascii="宋体" w:hAnsi="宋体" w:eastAsia="宋体" w:cs="宋体"/>
          <w:b w:val="0"/>
          <w:bCs w:val="0"/>
          <w:kern w:val="0"/>
          <w:sz w:val="28"/>
          <w:szCs w:val="28"/>
          <w:lang w:val="en-US" w:eastAsia="zh-CN" w:bidi="ar"/>
        </w:rPr>
        <w:t>春节慰问58.58万元，包括2022年春节慰问554人24.23万元、2023年春节慰问563人24.55万元、现役军人和其他优抚对象慰问年画9.8万元。</w:t>
      </w:r>
      <w:r>
        <w:rPr>
          <w:rFonts w:hint="eastAsia" w:ascii="宋体" w:hAnsi="宋体" w:eastAsia="宋体" w:cs="宋体"/>
          <w:b/>
          <w:bCs/>
          <w:kern w:val="0"/>
          <w:sz w:val="28"/>
          <w:szCs w:val="28"/>
          <w:lang w:val="en-US" w:eastAsia="zh-CN" w:bidi="ar"/>
        </w:rPr>
        <w:t>二是</w:t>
      </w:r>
      <w:r>
        <w:rPr>
          <w:rFonts w:hint="eastAsia" w:ascii="宋体" w:hAnsi="宋体" w:eastAsia="宋体" w:cs="宋体"/>
          <w:b w:val="0"/>
          <w:bCs w:val="0"/>
          <w:kern w:val="0"/>
          <w:sz w:val="28"/>
          <w:szCs w:val="28"/>
          <w:lang w:val="en-US" w:eastAsia="zh-CN" w:bidi="ar"/>
        </w:rPr>
        <w:t>八一慰问21.57万元。走访本区慰问优抚对象501人。</w:t>
      </w:r>
      <w:r>
        <w:rPr>
          <w:rFonts w:hint="eastAsia" w:ascii="宋体" w:hAnsi="宋体" w:eastAsia="宋体" w:cs="宋体"/>
          <w:b/>
          <w:bCs/>
          <w:kern w:val="0"/>
          <w:sz w:val="28"/>
          <w:szCs w:val="28"/>
          <w:lang w:val="en-US" w:eastAsia="zh-CN" w:bidi="ar"/>
        </w:rPr>
        <w:t>三是</w:t>
      </w:r>
      <w:r>
        <w:rPr>
          <w:rFonts w:hint="eastAsia" w:ascii="宋体" w:hAnsi="宋体" w:eastAsia="宋体" w:cs="宋体"/>
          <w:b w:val="0"/>
          <w:bCs w:val="0"/>
          <w:kern w:val="0"/>
          <w:sz w:val="28"/>
          <w:szCs w:val="28"/>
          <w:lang w:val="en-US" w:eastAsia="zh-CN" w:bidi="ar"/>
        </w:rPr>
        <w:t>涉军维稳经费25.62万元，拨付各镇及街道共24.72万元，走访慰问退役军人重病患者0.9万元。</w:t>
      </w:r>
      <w:r>
        <w:rPr>
          <w:rFonts w:hint="eastAsia" w:ascii="宋体" w:hAnsi="宋体" w:eastAsia="宋体" w:cs="宋体"/>
          <w:b/>
          <w:bCs/>
          <w:kern w:val="0"/>
          <w:sz w:val="28"/>
          <w:szCs w:val="28"/>
          <w:lang w:val="en-US" w:eastAsia="zh-CN" w:bidi="ar"/>
        </w:rPr>
        <w:t>四是</w:t>
      </w:r>
      <w:r>
        <w:rPr>
          <w:rFonts w:hint="eastAsia" w:ascii="宋体" w:hAnsi="宋体" w:eastAsia="宋体" w:cs="宋体"/>
          <w:b w:val="0"/>
          <w:bCs w:val="0"/>
          <w:kern w:val="0"/>
          <w:sz w:val="28"/>
          <w:szCs w:val="28"/>
          <w:lang w:val="en-US" w:eastAsia="zh-CN" w:bidi="ar"/>
        </w:rPr>
        <w:t>常态化联系走访慰问26人9.1万元，包括2022年春节2.6万元、2023年春节2.6万元、端午节1.3万元、八一节1.3万元、国庆节1.3万元。</w:t>
      </w:r>
      <w:r>
        <w:rPr>
          <w:rFonts w:hint="eastAsia" w:ascii="宋体" w:hAnsi="宋体" w:eastAsia="宋体" w:cs="宋体"/>
          <w:b/>
          <w:bCs/>
          <w:kern w:val="0"/>
          <w:sz w:val="28"/>
          <w:szCs w:val="28"/>
          <w:highlight w:val="none"/>
          <w:lang w:val="en-US" w:eastAsia="zh-CN" w:bidi="ar"/>
        </w:rPr>
        <w:t>五是</w:t>
      </w:r>
      <w:r>
        <w:rPr>
          <w:rFonts w:hint="eastAsia" w:ascii="宋体" w:hAnsi="宋体" w:eastAsia="宋体" w:cs="宋体"/>
          <w:b w:val="0"/>
          <w:bCs w:val="0"/>
          <w:kern w:val="0"/>
          <w:sz w:val="28"/>
          <w:szCs w:val="28"/>
          <w:highlight w:val="none"/>
          <w:lang w:val="en-US" w:eastAsia="zh-CN" w:bidi="ar"/>
        </w:rPr>
        <w:t>拨付村级服务站基层能力建设费用36万元</w:t>
      </w:r>
      <w:r>
        <w:rPr>
          <w:rFonts w:hint="eastAsia" w:ascii="宋体" w:hAnsi="宋体" w:eastAsia="宋体" w:cs="宋体"/>
          <w:b/>
          <w:bCs/>
          <w:kern w:val="0"/>
          <w:sz w:val="28"/>
          <w:szCs w:val="28"/>
          <w:highlight w:val="none"/>
          <w:lang w:val="en-US" w:eastAsia="zh-CN" w:bidi="ar"/>
        </w:rPr>
        <w:t>,</w:t>
      </w:r>
      <w:r>
        <w:rPr>
          <w:rFonts w:hint="eastAsia" w:ascii="宋体" w:hAnsi="宋体" w:eastAsia="宋体" w:cs="宋体"/>
          <w:b w:val="0"/>
          <w:bCs w:val="0"/>
          <w:kern w:val="0"/>
          <w:sz w:val="28"/>
          <w:szCs w:val="28"/>
          <w:highlight w:val="none"/>
          <w:lang w:val="en-US" w:eastAsia="zh-CN" w:bidi="ar"/>
        </w:rPr>
        <w:t>其中路口镇11万元、长岭街道4万元、陆城镇3万元、云溪街道11万元、松阳湖街道7万元。</w:t>
      </w:r>
      <w:r>
        <w:rPr>
          <w:rFonts w:hint="eastAsia" w:ascii="宋体" w:hAnsi="宋体" w:eastAsia="宋体" w:cs="宋体"/>
          <w:b/>
          <w:bCs/>
          <w:kern w:val="0"/>
          <w:sz w:val="28"/>
          <w:szCs w:val="28"/>
          <w:highlight w:val="none"/>
          <w:lang w:val="en-US" w:eastAsia="zh-CN" w:bidi="ar"/>
        </w:rPr>
        <w:t>六是</w:t>
      </w:r>
      <w:r>
        <w:rPr>
          <w:rFonts w:hint="eastAsia" w:ascii="宋体" w:hAnsi="宋体" w:eastAsia="宋体" w:cs="宋体"/>
          <w:b w:val="0"/>
          <w:bCs w:val="0"/>
          <w:kern w:val="0"/>
          <w:sz w:val="28"/>
          <w:szCs w:val="28"/>
          <w:highlight w:val="none"/>
          <w:lang w:val="en-US" w:eastAsia="zh-CN" w:bidi="ar"/>
        </w:rPr>
        <w:t>鼓励自主创业就业帮扶52万元,共帮扶64人，其中养殖业57人，办厂、开公司5人、农作物种植2人。</w:t>
      </w:r>
      <w:r>
        <w:rPr>
          <w:rFonts w:hint="eastAsia" w:ascii="宋体" w:hAnsi="宋体" w:eastAsia="宋体" w:cs="宋体"/>
          <w:b/>
          <w:bCs/>
          <w:kern w:val="0"/>
          <w:sz w:val="28"/>
          <w:szCs w:val="28"/>
          <w:highlight w:val="none"/>
          <w:lang w:val="en-US" w:eastAsia="zh-CN" w:bidi="ar"/>
        </w:rPr>
        <w:t>七是</w:t>
      </w:r>
      <w:r>
        <w:rPr>
          <w:rFonts w:hint="eastAsia" w:ascii="宋体" w:hAnsi="宋体" w:eastAsia="宋体" w:cs="宋体"/>
          <w:b/>
          <w:bCs/>
          <w:kern w:val="0"/>
          <w:sz w:val="28"/>
          <w:szCs w:val="28"/>
          <w:lang w:val="en-US" w:eastAsia="zh-CN" w:bidi="ar"/>
        </w:rPr>
        <w:t>退</w:t>
      </w:r>
      <w:r>
        <w:rPr>
          <w:rFonts w:hint="eastAsia" w:ascii="宋体" w:hAnsi="宋体" w:eastAsia="宋体" w:cs="宋体"/>
          <w:b w:val="0"/>
          <w:bCs w:val="0"/>
          <w:kern w:val="0"/>
          <w:sz w:val="28"/>
          <w:szCs w:val="28"/>
          <w:lang w:val="en-US" w:eastAsia="zh-CN" w:bidi="ar"/>
        </w:rPr>
        <w:t>役军人特殊困难援助16.5万元；2人重病援助0.6万元，旱情26人养殖业亏损补助15.9万元。</w:t>
      </w:r>
      <w:r>
        <w:rPr>
          <w:rFonts w:hint="eastAsia" w:ascii="宋体" w:hAnsi="宋体" w:eastAsia="宋体" w:cs="宋体"/>
          <w:b/>
          <w:bCs/>
          <w:kern w:val="0"/>
          <w:sz w:val="28"/>
          <w:szCs w:val="28"/>
          <w:lang w:val="en-US" w:eastAsia="zh-CN" w:bidi="ar"/>
        </w:rPr>
        <w:t>八是</w:t>
      </w:r>
      <w:r>
        <w:rPr>
          <w:rFonts w:hint="eastAsia" w:ascii="宋体" w:hAnsi="宋体" w:eastAsia="宋体" w:cs="宋体"/>
          <w:b w:val="0"/>
          <w:bCs w:val="0"/>
          <w:kern w:val="0"/>
          <w:sz w:val="28"/>
          <w:szCs w:val="28"/>
          <w:lang w:val="en-US" w:eastAsia="zh-CN" w:bidi="ar"/>
        </w:rPr>
        <w:t>烈士纪念日费用0.64万元,用于烈士纪念日购鲜花等费用。</w:t>
      </w:r>
      <w:r>
        <w:rPr>
          <w:rFonts w:hint="eastAsia" w:ascii="宋体" w:hAnsi="宋体" w:eastAsia="宋体" w:cs="宋体"/>
          <w:b/>
          <w:bCs/>
          <w:kern w:val="0"/>
          <w:sz w:val="28"/>
          <w:szCs w:val="28"/>
          <w:lang w:val="en-US" w:eastAsia="zh-CN" w:bidi="ar"/>
        </w:rPr>
        <w:t>九是</w:t>
      </w:r>
      <w:r>
        <w:rPr>
          <w:rFonts w:hint="eastAsia" w:ascii="宋体" w:hAnsi="宋体" w:eastAsia="宋体" w:cs="宋体"/>
          <w:b w:val="0"/>
          <w:bCs w:val="0"/>
          <w:kern w:val="0"/>
          <w:sz w:val="28"/>
          <w:szCs w:val="28"/>
          <w:lang w:val="en-US" w:eastAsia="zh-CN" w:bidi="ar"/>
        </w:rPr>
        <w:t>优抚对象“解三难”费用123.4万元，包括：支付2021年下半年城镇下岗伤残军人救助7人、4.61万元，按伤残等级发放；支付2022年优抚对象解三难经费61.79万元；拨付镇（街道）优抚对象解三难经费57.00万元。</w:t>
      </w:r>
      <w:r>
        <w:rPr>
          <w:rFonts w:hint="eastAsia" w:ascii="宋体" w:hAnsi="宋体" w:eastAsia="宋体" w:cs="宋体"/>
          <w:b/>
          <w:bCs/>
          <w:kern w:val="0"/>
          <w:sz w:val="28"/>
          <w:szCs w:val="28"/>
          <w:lang w:val="en-US" w:eastAsia="zh-CN" w:bidi="ar"/>
        </w:rPr>
        <w:t>十是</w:t>
      </w:r>
      <w:r>
        <w:rPr>
          <w:rFonts w:hint="eastAsia" w:ascii="宋体" w:hAnsi="宋体" w:eastAsia="宋体" w:cs="宋体"/>
          <w:b w:val="0"/>
          <w:bCs w:val="0"/>
          <w:kern w:val="0"/>
          <w:sz w:val="28"/>
          <w:szCs w:val="28"/>
          <w:lang w:val="en-US" w:eastAsia="zh-CN" w:bidi="ar"/>
        </w:rPr>
        <w:t>退役军人困难生活补助4.01万元（共6人）。</w:t>
      </w:r>
      <w:r>
        <w:rPr>
          <w:rFonts w:hint="eastAsia" w:ascii="宋体" w:hAnsi="宋体" w:eastAsia="宋体" w:cs="宋体"/>
          <w:b/>
          <w:bCs/>
          <w:kern w:val="0"/>
          <w:sz w:val="28"/>
          <w:szCs w:val="28"/>
          <w:lang w:val="en-US" w:eastAsia="zh-CN" w:bidi="ar"/>
        </w:rPr>
        <w:t>十一</w:t>
      </w:r>
      <w:r>
        <w:rPr>
          <w:rFonts w:hint="eastAsia" w:ascii="宋体" w:hAnsi="宋体" w:eastAsia="宋体" w:cs="宋体"/>
          <w:b w:val="0"/>
          <w:bCs w:val="0"/>
          <w:kern w:val="0"/>
          <w:sz w:val="28"/>
          <w:szCs w:val="28"/>
          <w:lang w:val="en-US" w:eastAsia="zh-CN" w:bidi="ar"/>
        </w:rPr>
        <w:t>是下岗失业伤残、参战退伍军人就业救助17.09万元（19人）。</w:t>
      </w:r>
      <w:r>
        <w:rPr>
          <w:rFonts w:hint="eastAsia" w:ascii="宋体" w:hAnsi="宋体" w:eastAsia="宋体" w:cs="宋体"/>
          <w:b/>
          <w:bCs/>
          <w:kern w:val="0"/>
          <w:sz w:val="28"/>
          <w:szCs w:val="28"/>
          <w:lang w:val="en-US" w:eastAsia="zh-CN" w:bidi="ar"/>
        </w:rPr>
        <w:t>十二</w:t>
      </w:r>
      <w:r>
        <w:rPr>
          <w:rFonts w:hint="eastAsia" w:ascii="宋体" w:hAnsi="宋体" w:eastAsia="宋体" w:cs="宋体"/>
          <w:b w:val="0"/>
          <w:bCs w:val="0"/>
          <w:kern w:val="0"/>
          <w:sz w:val="28"/>
          <w:szCs w:val="28"/>
          <w:lang w:val="en-US" w:eastAsia="zh-CN" w:bidi="ar"/>
        </w:rPr>
        <w:t>是其他费用27.06万元，包括退役军人责任保险7.19万元，2022年上半年下岗失业伤残、参战退伍军人就业援助19.87万元。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⑦195</w:t>
      </w:r>
      <w:r>
        <w:rPr>
          <w:rFonts w:hint="eastAsia" w:ascii="宋体" w:hAnsi="宋体" w:eastAsia="宋体" w:cs="宋体"/>
          <w:b w:val="0"/>
          <w:bCs w:val="0"/>
          <w:kern w:val="0"/>
          <w:sz w:val="28"/>
          <w:szCs w:val="28"/>
          <w:lang w:val="en-US" w:eastAsia="zh-CN" w:bidi="ar"/>
        </w:rPr>
        <w:t>3年12月31日前参军后企业退休军队退役人员生活困难补助1.57万元（1人*1210元/月）</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⑧优抚</w:t>
      </w:r>
      <w:r>
        <w:rPr>
          <w:rFonts w:hint="eastAsia" w:ascii="宋体" w:hAnsi="宋体" w:eastAsia="宋体" w:cs="宋体"/>
          <w:b w:val="0"/>
          <w:bCs w:val="0"/>
          <w:kern w:val="0"/>
          <w:sz w:val="28"/>
          <w:szCs w:val="28"/>
          <w:lang w:val="en-US" w:eastAsia="zh-CN" w:bidi="ar"/>
        </w:rPr>
        <w:t>事业单位经费147.00万元。拨付区光荣院87.00万元，其中优抚经费（18人）57.00万元、拨付光荣院维修改造款30.00万元；拨付烈士纪念建筑物管理维修费用60.00万元。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⑨入伍</w:t>
      </w:r>
      <w:r>
        <w:rPr>
          <w:rFonts w:hint="eastAsia" w:ascii="宋体" w:hAnsi="宋体" w:eastAsia="宋体" w:cs="宋体"/>
          <w:b w:val="0"/>
          <w:bCs w:val="0"/>
          <w:kern w:val="0"/>
          <w:sz w:val="28"/>
          <w:szCs w:val="28"/>
          <w:lang w:val="en-US" w:eastAsia="zh-CN" w:bidi="ar"/>
        </w:rPr>
        <w:t>进藏进疆一次性奖励4.00万元，主要支付2022年上半年入伍进疆进藏和高原条件兵一次性奖励金（1人）。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⑩</w:t>
      </w:r>
      <w:r>
        <w:rPr>
          <w:rFonts w:hint="eastAsia" w:ascii="宋体" w:hAnsi="宋体" w:eastAsia="宋体" w:cs="宋体"/>
          <w:b w:val="0"/>
          <w:bCs w:val="0"/>
          <w:kern w:val="0"/>
          <w:sz w:val="28"/>
          <w:szCs w:val="28"/>
          <w:lang w:val="en-US" w:eastAsia="zh-CN" w:bidi="ar"/>
        </w:rPr>
        <w:t>大学生入伍一次性奖励38.8万元。按标准支付2022年入伍大学生一次性奖励金（53人）。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 xml:space="preserve">    （2）</w:t>
      </w:r>
      <w:r>
        <w:rPr>
          <w:rFonts w:hint="eastAsia" w:ascii="宋体" w:hAnsi="宋体" w:eastAsia="宋体" w:cs="宋体"/>
          <w:b/>
          <w:bCs/>
          <w:kern w:val="0"/>
          <w:sz w:val="28"/>
          <w:szCs w:val="28"/>
          <w:lang w:val="en-US" w:eastAsia="zh-CN" w:bidi="ar"/>
        </w:rPr>
        <w:t>退役安置经费97.42万元，包括：</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①待</w:t>
      </w:r>
      <w:r>
        <w:rPr>
          <w:rFonts w:hint="eastAsia" w:ascii="宋体" w:hAnsi="宋体" w:eastAsia="宋体" w:cs="宋体"/>
          <w:b w:val="0"/>
          <w:bCs w:val="0"/>
          <w:kern w:val="0"/>
          <w:sz w:val="28"/>
          <w:szCs w:val="28"/>
          <w:lang w:val="en-US" w:eastAsia="zh-CN" w:bidi="ar"/>
        </w:rPr>
        <w:t>安置期间生活费补助5.87万元（共11人，1540元/月/人）。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②自</w:t>
      </w:r>
      <w:r>
        <w:rPr>
          <w:rFonts w:hint="eastAsia" w:ascii="宋体" w:hAnsi="宋体" w:eastAsia="宋体" w:cs="宋体"/>
          <w:b w:val="0"/>
          <w:bCs w:val="0"/>
          <w:kern w:val="0"/>
          <w:sz w:val="28"/>
          <w:szCs w:val="28"/>
          <w:lang w:val="en-US" w:eastAsia="zh-CN" w:bidi="ar"/>
        </w:rPr>
        <w:t>主就业一次性经济补偿72万元（2020年4.95万元、2021年58.95万元、2022年8.1万元）。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③退</w:t>
      </w:r>
      <w:r>
        <w:rPr>
          <w:rFonts w:hint="eastAsia" w:ascii="宋体" w:hAnsi="宋体" w:eastAsia="宋体" w:cs="宋体"/>
          <w:b w:val="0"/>
          <w:bCs w:val="0"/>
          <w:kern w:val="0"/>
          <w:sz w:val="28"/>
          <w:szCs w:val="28"/>
          <w:lang w:val="en-US" w:eastAsia="zh-CN" w:bidi="ar"/>
        </w:rPr>
        <w:t>役士兵职业培训补助3.26万元（2021年退役土兵杨洋技能培训费0.45万元，2022年44人培训生活费每天100元/人共2.81万元）。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④自</w:t>
      </w:r>
      <w:r>
        <w:rPr>
          <w:rFonts w:hint="eastAsia" w:ascii="宋体" w:hAnsi="宋体" w:eastAsia="宋体" w:cs="宋体"/>
          <w:b w:val="0"/>
          <w:bCs w:val="0"/>
          <w:kern w:val="0"/>
          <w:sz w:val="28"/>
          <w:szCs w:val="28"/>
          <w:lang w:val="en-US" w:eastAsia="zh-CN" w:bidi="ar"/>
        </w:rPr>
        <w:t>主择业军队转业干部医疗保险及住房公积金1.65万元。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⑤</w:t>
      </w:r>
      <w:r>
        <w:rPr>
          <w:rFonts w:hint="eastAsia" w:ascii="宋体" w:hAnsi="宋体" w:eastAsia="宋体" w:cs="宋体"/>
          <w:b w:val="0"/>
          <w:bCs w:val="0"/>
          <w:kern w:val="0"/>
          <w:sz w:val="28"/>
          <w:szCs w:val="28"/>
          <w:lang w:val="en-US" w:eastAsia="zh-CN" w:bidi="ar"/>
        </w:rPr>
        <w:t>退役士兵社保补助10.90万元（11人）。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⑥</w:t>
      </w:r>
      <w:r>
        <w:rPr>
          <w:rFonts w:hint="eastAsia" w:ascii="宋体" w:hAnsi="宋体" w:eastAsia="宋体" w:cs="宋体"/>
          <w:b w:val="0"/>
          <w:bCs w:val="0"/>
          <w:kern w:val="0"/>
          <w:sz w:val="28"/>
          <w:szCs w:val="28"/>
          <w:lang w:val="en-US" w:eastAsia="zh-CN" w:bidi="ar"/>
        </w:rPr>
        <w:t>自主择业转业干部慰问0.65万元（1人）。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⑦</w:t>
      </w:r>
      <w:r>
        <w:rPr>
          <w:rFonts w:hint="eastAsia" w:ascii="宋体" w:hAnsi="宋体" w:eastAsia="宋体" w:cs="宋体"/>
          <w:b w:val="0"/>
          <w:bCs w:val="0"/>
          <w:kern w:val="0"/>
          <w:sz w:val="28"/>
          <w:szCs w:val="28"/>
          <w:lang w:val="en-US" w:eastAsia="zh-CN" w:bidi="ar"/>
        </w:rPr>
        <w:t>随军家属生活补助3.09万元（4人、最低生活保障按7728元/年/人）。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 xml:space="preserve">   </w:t>
      </w:r>
      <w:r>
        <w:rPr>
          <w:rFonts w:hint="eastAsia" w:ascii="宋体" w:hAnsi="宋体" w:eastAsia="宋体" w:cs="宋体"/>
          <w:b/>
          <w:bCs/>
          <w:kern w:val="0"/>
          <w:sz w:val="28"/>
          <w:szCs w:val="28"/>
          <w:lang w:val="en-US" w:eastAsia="zh-CN" w:bidi="ar"/>
        </w:rPr>
        <w:t xml:space="preserve"> （3）军队离退休干部安置经费442.42万元。</w:t>
      </w:r>
      <w:r>
        <w:rPr>
          <w:rFonts w:hint="eastAsia" w:ascii="宋体" w:hAnsi="宋体" w:eastAsia="宋体" w:cs="宋体"/>
          <w:b w:val="0"/>
          <w:bCs w:val="0"/>
          <w:kern w:val="0"/>
          <w:sz w:val="28"/>
          <w:szCs w:val="28"/>
          <w:lang w:val="en-US" w:eastAsia="zh-CN" w:bidi="ar"/>
        </w:rPr>
        <w:t>包括：</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①</w:t>
      </w:r>
      <w:r>
        <w:rPr>
          <w:rFonts w:hint="eastAsia" w:ascii="宋体" w:hAnsi="宋体" w:eastAsia="宋体" w:cs="宋体"/>
          <w:b w:val="0"/>
          <w:bCs w:val="0"/>
          <w:kern w:val="0"/>
          <w:sz w:val="28"/>
          <w:szCs w:val="28"/>
          <w:lang w:val="en-US" w:eastAsia="zh-CN" w:bidi="ar"/>
        </w:rPr>
        <w:t>军队离退休人员工资9.35万元（1人）。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②</w:t>
      </w:r>
      <w:r>
        <w:rPr>
          <w:rFonts w:hint="eastAsia" w:ascii="宋体" w:hAnsi="宋体" w:eastAsia="宋体" w:cs="宋体"/>
          <w:b w:val="0"/>
          <w:bCs w:val="0"/>
          <w:kern w:val="0"/>
          <w:sz w:val="28"/>
          <w:szCs w:val="28"/>
          <w:lang w:val="en-US" w:eastAsia="zh-CN" w:bidi="ar"/>
        </w:rPr>
        <w:t>军队离退休干部其他支出1.69万元（春节慰问1人0.3万元，困难补助及节日慰问1.39万元）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③</w:t>
      </w:r>
      <w:r>
        <w:rPr>
          <w:rFonts w:hint="eastAsia" w:ascii="宋体" w:hAnsi="宋体" w:eastAsia="宋体" w:cs="宋体"/>
          <w:b w:val="0"/>
          <w:bCs w:val="0"/>
          <w:kern w:val="0"/>
          <w:sz w:val="28"/>
          <w:szCs w:val="28"/>
          <w:lang w:val="en-US" w:eastAsia="zh-CN" w:bidi="ar"/>
        </w:rPr>
        <w:t>军队离退休干部休养所建设344.53万元。</w:t>
      </w:r>
      <w:r>
        <w:rPr>
          <w:rFonts w:hint="eastAsia" w:ascii="宋体" w:hAnsi="宋体" w:eastAsia="宋体" w:cs="宋体"/>
          <w:b/>
          <w:bCs/>
          <w:kern w:val="0"/>
          <w:sz w:val="28"/>
          <w:szCs w:val="28"/>
          <w:lang w:val="en-US" w:eastAsia="zh-CN" w:bidi="ar"/>
        </w:rPr>
        <w:t>一是</w:t>
      </w:r>
      <w:r>
        <w:rPr>
          <w:rFonts w:hint="eastAsia" w:ascii="宋体" w:hAnsi="宋体" w:eastAsia="宋体" w:cs="宋体"/>
          <w:b w:val="0"/>
          <w:bCs w:val="0"/>
          <w:kern w:val="0"/>
          <w:sz w:val="28"/>
          <w:szCs w:val="28"/>
          <w:lang w:val="en-US" w:eastAsia="zh-CN" w:bidi="ar"/>
        </w:rPr>
        <w:t>支付军休楼活动室维修改造（室内装修、家具采购）28.7万元；</w:t>
      </w:r>
      <w:r>
        <w:rPr>
          <w:rFonts w:hint="eastAsia" w:ascii="宋体" w:hAnsi="宋体" w:eastAsia="宋体" w:cs="宋体"/>
          <w:b/>
          <w:bCs/>
          <w:kern w:val="0"/>
          <w:sz w:val="28"/>
          <w:szCs w:val="28"/>
          <w:lang w:val="en-US" w:eastAsia="zh-CN" w:bidi="ar"/>
        </w:rPr>
        <w:t>二是</w:t>
      </w:r>
      <w:r>
        <w:rPr>
          <w:rFonts w:hint="eastAsia" w:ascii="宋体" w:hAnsi="宋体" w:eastAsia="宋体" w:cs="宋体"/>
          <w:b w:val="0"/>
          <w:bCs w:val="0"/>
          <w:kern w:val="0"/>
          <w:sz w:val="28"/>
          <w:szCs w:val="28"/>
          <w:lang w:val="en-US" w:eastAsia="zh-CN" w:bidi="ar"/>
        </w:rPr>
        <w:t>支付军休干部爱国主义教育基地费用60.00万元，陆城镇政府为业主单位，购买100座烈士墓地，每座墓单价0.6万元；</w:t>
      </w:r>
      <w:r>
        <w:rPr>
          <w:rFonts w:hint="eastAsia" w:ascii="宋体" w:hAnsi="宋体" w:eastAsia="宋体" w:cs="宋体"/>
          <w:b/>
          <w:bCs/>
          <w:kern w:val="0"/>
          <w:sz w:val="28"/>
          <w:szCs w:val="28"/>
          <w:lang w:val="en-US" w:eastAsia="zh-CN" w:bidi="ar"/>
        </w:rPr>
        <w:t>三是</w:t>
      </w:r>
      <w:r>
        <w:rPr>
          <w:rFonts w:hint="eastAsia" w:ascii="宋体" w:hAnsi="宋体" w:eastAsia="宋体" w:cs="宋体"/>
          <w:b w:val="0"/>
          <w:bCs w:val="0"/>
          <w:kern w:val="0"/>
          <w:sz w:val="28"/>
          <w:szCs w:val="28"/>
          <w:lang w:val="en-US" w:eastAsia="zh-CN" w:bidi="ar"/>
        </w:rPr>
        <w:t>支付军队离退休人员活动场地建设费用255.83万元（工程建设合同295.6万元），主要支付工程款240.00万元,工程勘察、设计、监理等工程相关费用15.83万元；</w:t>
      </w:r>
      <w:r>
        <w:rPr>
          <w:rFonts w:hint="eastAsia" w:ascii="宋体" w:hAnsi="宋体" w:eastAsia="宋体" w:cs="宋体"/>
          <w:b/>
          <w:bCs/>
          <w:kern w:val="0"/>
          <w:sz w:val="28"/>
          <w:szCs w:val="28"/>
          <w:lang w:val="en-US" w:eastAsia="zh-CN" w:bidi="ar"/>
        </w:rPr>
        <w:t>四是</w:t>
      </w:r>
      <w:r>
        <w:rPr>
          <w:rFonts w:hint="eastAsia" w:ascii="宋体" w:hAnsi="宋体" w:eastAsia="宋体" w:cs="宋体"/>
          <w:b w:val="0"/>
          <w:bCs w:val="0"/>
          <w:kern w:val="0"/>
          <w:sz w:val="28"/>
          <w:szCs w:val="28"/>
          <w:lang w:val="en-US" w:eastAsia="zh-CN" w:bidi="ar"/>
        </w:rPr>
        <w:t>军队离退休干部管理机构86.85万元。支付三类人员李凯工资、绩效公积金补缴共计4.88万元，支付差旅费、水电费、零星维修及耗材费费用等共1.8万元，网络配件1.92万元，给排水维修5.22万元，</w:t>
      </w:r>
      <w:r>
        <w:rPr>
          <w:rFonts w:hint="eastAsia" w:ascii="宋体" w:hAnsi="宋体" w:eastAsia="宋体" w:cs="宋体"/>
          <w:b w:val="0"/>
          <w:bCs w:val="0"/>
          <w:kern w:val="0"/>
          <w:sz w:val="28"/>
          <w:szCs w:val="28"/>
          <w:lang w:val="en-US" w:eastAsia="zh-CN" w:bidi="ar"/>
        </w:rPr>
        <w:t>离退休人员活动场地</w:t>
      </w:r>
      <w:r>
        <w:rPr>
          <w:rFonts w:hint="eastAsia" w:ascii="宋体" w:hAnsi="宋体" w:eastAsia="宋体" w:cs="宋体"/>
          <w:b w:val="0"/>
          <w:bCs w:val="0"/>
          <w:kern w:val="0"/>
          <w:sz w:val="28"/>
          <w:szCs w:val="28"/>
          <w:lang w:val="en-US" w:eastAsia="zh-CN" w:bidi="ar"/>
        </w:rPr>
        <w:t>通用家具14.78万元、密集架9.78万元、监控道闸13.3万元、电子屏会议系统35.17万元。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kern w:val="0"/>
          <w:sz w:val="28"/>
          <w:szCs w:val="28"/>
          <w:lang w:val="en-US" w:eastAsia="zh-CN" w:bidi="ar"/>
        </w:rPr>
        <w:t>4.企业退休军转干部生活困难补助12.74万元，包括：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①</w:t>
      </w:r>
      <w:r>
        <w:rPr>
          <w:rFonts w:hint="eastAsia" w:ascii="宋体" w:hAnsi="宋体" w:eastAsia="宋体" w:cs="宋体"/>
          <w:b w:val="0"/>
          <w:bCs w:val="0"/>
          <w:kern w:val="0"/>
          <w:sz w:val="28"/>
          <w:szCs w:val="28"/>
          <w:lang w:val="en-US" w:eastAsia="zh-CN" w:bidi="ar"/>
        </w:rPr>
        <w:t>生活困难补助10.19万元，（按7787.76元/月）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②</w:t>
      </w:r>
      <w:r>
        <w:rPr>
          <w:rFonts w:hint="eastAsia" w:ascii="宋体" w:hAnsi="宋体" w:eastAsia="宋体" w:cs="宋体"/>
          <w:b w:val="0"/>
          <w:bCs w:val="0"/>
          <w:kern w:val="0"/>
          <w:sz w:val="28"/>
          <w:szCs w:val="28"/>
          <w:lang w:val="en-US" w:eastAsia="zh-CN" w:bidi="ar"/>
        </w:rPr>
        <w:t>医疗、门诊补助1.05万元（企业军转干部门诊补助 0.5万元、 春节慰问0.55万元）。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③</w:t>
      </w:r>
      <w:r>
        <w:rPr>
          <w:rFonts w:hint="eastAsia" w:ascii="宋体" w:hAnsi="宋体" w:eastAsia="宋体" w:cs="宋体"/>
          <w:b w:val="0"/>
          <w:bCs w:val="0"/>
          <w:kern w:val="0"/>
          <w:sz w:val="28"/>
          <w:szCs w:val="28"/>
          <w:lang w:val="en-US" w:eastAsia="zh-CN" w:bidi="ar"/>
        </w:rPr>
        <w:t>节日慰问1.5万元（企业军转干部春节、“八一”、重阳节慰问）</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（5）基层退役军人服务体系运行补助17.2万元。包括：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分付给基层5个镇街道：路口镇、陆城镇、松阳湖街道均为7.8万元（2.6万元*3），云溪街道6.3万元、长岭街道3.1万元。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bCs/>
          <w:kern w:val="0"/>
          <w:sz w:val="28"/>
          <w:szCs w:val="28"/>
          <w:lang w:val="en-US" w:eastAsia="zh-CN" w:bidi="ar"/>
        </w:rPr>
        <w:t>（6）其他支出（其他对个人和家庭的补助）0.35万元</w:t>
      </w:r>
      <w:r>
        <w:rPr>
          <w:rFonts w:hint="eastAsia" w:ascii="宋体" w:hAnsi="宋体" w:eastAsia="宋体" w:cs="宋体"/>
          <w:b w:val="0"/>
          <w:bCs w:val="0"/>
          <w:kern w:val="0"/>
          <w:sz w:val="28"/>
          <w:szCs w:val="28"/>
          <w:lang w:val="en-US" w:eastAsia="zh-CN" w:bidi="ar"/>
        </w:rPr>
        <w:t>。主要支付局机关退役军人八一慰问（4人*500元）、献血（3人*500）费用。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b w:val="0"/>
          <w:bCs w:val="0"/>
          <w:kern w:val="0"/>
          <w:sz w:val="28"/>
          <w:szCs w:val="28"/>
          <w:lang w:val="en-US" w:eastAsia="zh-CN" w:bidi="ar"/>
        </w:rPr>
        <w:t>项目支出明细见下表：</w:t>
      </w:r>
    </w:p>
    <w:p>
      <w:pPr>
        <w:numPr>
          <w:ilvl w:val="0"/>
          <w:numId w:val="0"/>
        </w:numPr>
        <w:ind w:firstLine="7740" w:firstLineChars="4300"/>
        <w:rPr>
          <w:rFonts w:hint="eastAsia" w:ascii="宋体" w:hAnsi="宋体" w:cs="宋体"/>
          <w:kern w:val="0"/>
          <w:sz w:val="18"/>
          <w:szCs w:val="18"/>
          <w:highlight w:val="none"/>
          <w:lang w:val="en-US" w:eastAsia="zh-CN" w:bidi="ar"/>
        </w:rPr>
      </w:pPr>
      <w:r>
        <w:rPr>
          <w:rFonts w:hint="eastAsia" w:ascii="宋体" w:hAnsi="宋体" w:cs="宋体"/>
          <w:kern w:val="0"/>
          <w:sz w:val="18"/>
          <w:szCs w:val="18"/>
          <w:highlight w:val="none"/>
          <w:lang w:val="en-US" w:eastAsia="zh-CN" w:bidi="ar"/>
        </w:rPr>
        <w:t>单位:元</w:t>
      </w:r>
    </w:p>
    <w:tbl>
      <w:tblPr>
        <w:tblStyle w:val="23"/>
        <w:tblW w:w="9534" w:type="dxa"/>
        <w:tblInd w:w="-410" w:type="dxa"/>
        <w:tblLayout w:type="fixed"/>
        <w:tblCellMar>
          <w:top w:w="0" w:type="dxa"/>
          <w:left w:w="0" w:type="dxa"/>
          <w:bottom w:w="0" w:type="dxa"/>
          <w:right w:w="0" w:type="dxa"/>
        </w:tblCellMar>
      </w:tblPr>
      <w:tblGrid>
        <w:gridCol w:w="1517"/>
        <w:gridCol w:w="1100"/>
        <w:gridCol w:w="6917"/>
      </w:tblGrid>
      <w:tr>
        <w:tblPrEx>
          <w:tblCellMar>
            <w:top w:w="0" w:type="dxa"/>
            <w:left w:w="0" w:type="dxa"/>
            <w:bottom w:w="0" w:type="dxa"/>
            <w:right w:w="0" w:type="dxa"/>
          </w:tblCellMar>
        </w:tblPrEx>
        <w:trPr>
          <w:trHeight w:val="455" w:hRule="atLeast"/>
        </w:trPr>
        <w:tc>
          <w:tcPr>
            <w:tcW w:w="1517" w:type="dxa"/>
            <w:tcBorders>
              <w:top w:val="single" w:color="000000" w:sz="4" w:space="0"/>
              <w:left w:val="single" w:color="000000" w:sz="4" w:space="0"/>
              <w:bottom w:val="single" w:color="000000" w:sz="4" w:space="0"/>
              <w:right w:val="single" w:color="000000" w:sz="4" w:space="0"/>
            </w:tcBorders>
            <w:shd w:val="clear" w:color="auto" w:fill="92CDDC"/>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181" w:firstLineChars="1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科目</w:t>
            </w:r>
          </w:p>
        </w:tc>
        <w:tc>
          <w:tcPr>
            <w:tcW w:w="1100" w:type="dxa"/>
            <w:tcBorders>
              <w:top w:val="single" w:color="000000" w:sz="4" w:space="0"/>
              <w:left w:val="single" w:color="000000" w:sz="4" w:space="0"/>
              <w:bottom w:val="single" w:color="000000" w:sz="4" w:space="0"/>
              <w:right w:val="single" w:color="000000" w:sz="4" w:space="0"/>
            </w:tcBorders>
            <w:shd w:val="clear" w:color="auto" w:fill="92CDDC"/>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c>
          <w:tcPr>
            <w:tcW w:w="6917" w:type="dxa"/>
            <w:tcBorders>
              <w:top w:val="single" w:color="000000" w:sz="4" w:space="0"/>
              <w:left w:val="single" w:color="000000" w:sz="4" w:space="0"/>
              <w:bottom w:val="single" w:color="000000" w:sz="4" w:space="0"/>
              <w:right w:val="single" w:color="000000" w:sz="4" w:space="0"/>
            </w:tcBorders>
            <w:shd w:val="clear" w:color="auto" w:fill="92CDDC"/>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ind w:firstLine="2168" w:firstLineChars="1200"/>
              <w:jc w:val="left"/>
              <w:rPr>
                <w:rFonts w:hint="eastAsia"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支付内容说明</w:t>
            </w:r>
          </w:p>
        </w:tc>
      </w:tr>
      <w:tr>
        <w:tblPrEx>
          <w:tblCellMar>
            <w:top w:w="0" w:type="dxa"/>
            <w:left w:w="0" w:type="dxa"/>
            <w:bottom w:w="0" w:type="dxa"/>
            <w:right w:w="0" w:type="dxa"/>
          </w:tblCellMar>
        </w:tblPrEx>
        <w:trPr>
          <w:trHeight w:val="330" w:hRule="atLeast"/>
        </w:trPr>
        <w:tc>
          <w:tcPr>
            <w:tcW w:w="1517" w:type="dxa"/>
            <w:vMerge w:val="restart"/>
            <w:tcBorders>
              <w:top w:val="single" w:color="000000" w:sz="4" w:space="0"/>
              <w:left w:val="single" w:color="000000" w:sz="4" w:space="0"/>
              <w:bottom w:val="single" w:color="000000" w:sz="4" w:space="0"/>
              <w:right w:val="single" w:color="000000" w:sz="4" w:space="0"/>
            </w:tcBorders>
            <w:shd w:val="clear" w:color="auto" w:fill="DBEEF3"/>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181" w:firstLineChars="1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项目支出</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361" w:firstLineChars="200"/>
              <w:jc w:val="left"/>
              <w:textAlignment w:val="center"/>
              <w:rPr>
                <w:rFonts w:hint="eastAsia" w:ascii="宋体" w:hAnsi="宋体" w:eastAsia="宋体" w:cs="宋体"/>
                <w:b/>
                <w:i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合计</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22,945,775.50</w:t>
            </w:r>
          </w:p>
        </w:tc>
        <w:tc>
          <w:tcPr>
            <w:tcW w:w="6917" w:type="dxa"/>
            <w:vMerge w:val="restart"/>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12" w:hRule="atLeast"/>
        </w:trPr>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DBEEF3"/>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18"/>
                <w:szCs w:val="18"/>
                <w:u w:val="none"/>
              </w:rPr>
            </w:pPr>
          </w:p>
        </w:tc>
        <w:tc>
          <w:tcPr>
            <w:tcW w:w="6917" w:type="dxa"/>
            <w:vMerge w:val="continue"/>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1.优抚抚恤经费</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17,244,547.60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2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（1）固定经费</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8,895,048.00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1.支付2022年度优抚对象固定经费758.80万元(约811人、63.23万元/月）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2.支付2023年1-2月优抚对象固定经费130.7万元(65.35万元/月），一卡通打卡发放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付优抚对象2022年8-10月价格临时补贴5.09万元全区优抚对象约811人、(65.35万元/月）一卡通打卡发放固定经费，包括残疾军人、参战退伍人员、带病回乡人员、参战带病人员在乡老复员军人、涉核人员、三属人员、部分烈士（错杀平反人员）子女、60周岁农村藉退役士兵。</w:t>
            </w:r>
          </w:p>
        </w:tc>
      </w:tr>
      <w:tr>
        <w:tblPrEx>
          <w:tblCellMar>
            <w:top w:w="0" w:type="dxa"/>
            <w:left w:w="0" w:type="dxa"/>
            <w:bottom w:w="0" w:type="dxa"/>
            <w:right w:w="0" w:type="dxa"/>
          </w:tblCellMar>
        </w:tblPrEx>
        <w:trPr>
          <w:trHeight w:val="40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（2）价格临时补贴</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50,924.00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优抚对象价格临时补贴（2022年8-10月）约821人（三个街道二个镇、长岭、岳化）</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（3）伤残抚恤</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78,639.60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伤残军人养老保险5.16万元（6人）、医保2.7万元（11人）</w:t>
            </w:r>
          </w:p>
        </w:tc>
      </w:tr>
      <w:tr>
        <w:tblPrEx>
          <w:tblCellMar>
            <w:top w:w="0" w:type="dxa"/>
            <w:left w:w="0" w:type="dxa"/>
            <w:bottom w:w="0" w:type="dxa"/>
            <w:right w:w="0" w:type="dxa"/>
          </w:tblCellMar>
        </w:tblPrEx>
        <w:trPr>
          <w:trHeight w:val="28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（4)义务兵家庭优待金</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1,854,000.00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1.付义务兵家庭优待金182.6万元，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2.付入职消防员家庭优待金2.8万元</w:t>
            </w:r>
          </w:p>
        </w:tc>
      </w:tr>
      <w:tr>
        <w:tblPrEx>
          <w:tblCellMar>
            <w:top w:w="0" w:type="dxa"/>
            <w:left w:w="0" w:type="dxa"/>
            <w:bottom w:w="0" w:type="dxa"/>
            <w:right w:w="0" w:type="dxa"/>
          </w:tblCellMar>
        </w:tblPrEx>
        <w:trPr>
          <w:trHeight w:val="410" w:hRule="atLeast"/>
        </w:trPr>
        <w:tc>
          <w:tcPr>
            <w:tcW w:w="1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(5)医疗补助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536,520.00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Style w:val="75"/>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付优抚对象医疗补助27.93万元，2.付优抚对象门诊医疗补助5.25万元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3.付重点优抚对象门诊医疗补助、医疗救助、医疗参保补助20.47万元</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(6)抚恤补助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3,915,696.00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春节慰问</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585,800.00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现金共48.78万元。其中：2022年春节慰问优抚对象554人24.23万元、2023年春节慰问563人24.55万元。包括：区领导慰问单位区人武部、区预备役营、区武警中队、长炼军代室、区光荣院、三属人员、因战三等功、临时慰问人员 、拨付3个街道2个镇慰问费用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2.现役军人和其他优抚对象慰问年画9.8万元（10000个*9.8元）</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八一慰问</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215,700.00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走访慰问优抚对象501人，括：区领导慰问现役部队、涉军单位、区光荣院、三属人员、因战三等功、临时慰问人员 、残疾军人、退伍军人、60周岁农村籍退役士兵等</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涉军维稳</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256,210.00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1.拨付镇及街道共24.72万元。其中云溪街道8.6万元、路口镇4.79万元、长岭街道4.2万元、陆城镇3.74万元、松阳湖街道3.4万元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2.走访慰问退役军人重病患者0.9万元（9人*1000元/人）</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常态化走访慰问</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2022年春节走访慰问26人2.6万元、端午节26人1.3万元、八一节、26人1.3万元、国庆节26人1.3万元、2023年春节走访慰问2.6万元，</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基层能力建设</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拨付村级服务站基层能力建设费用。路口镇5万元+3万元+3万元、长岭街道4万元、陆城3万元、云溪街道11万元、松阳湖街道2万元+5万元、</w:t>
            </w:r>
          </w:p>
        </w:tc>
      </w:tr>
      <w:tr>
        <w:tblPrEx>
          <w:tblCellMar>
            <w:top w:w="0" w:type="dxa"/>
            <w:left w:w="0" w:type="dxa"/>
            <w:bottom w:w="0" w:type="dxa"/>
            <w:right w:w="0" w:type="dxa"/>
          </w:tblCellMar>
        </w:tblPrEx>
        <w:trPr>
          <w:trHeight w:val="400" w:hRule="atLeast"/>
        </w:trPr>
        <w:tc>
          <w:tcPr>
            <w:tcW w:w="1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鼓励自主创业就业帮扶</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共64人，其中养殖业57人，办厂、开公司5人、农作物种植2人，资金打卡发放</w:t>
            </w:r>
          </w:p>
        </w:tc>
      </w:tr>
      <w:tr>
        <w:tblPrEx>
          <w:tblCellMar>
            <w:top w:w="0" w:type="dxa"/>
            <w:left w:w="0" w:type="dxa"/>
            <w:bottom w:w="0" w:type="dxa"/>
            <w:right w:w="0" w:type="dxa"/>
          </w:tblCellMar>
        </w:tblPrEx>
        <w:trPr>
          <w:trHeight w:val="54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退役军人特殊困难援助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165,000.00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1.2人重病援助6000元，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2.旱情26人养殖业亏损补助15.9万元。</w:t>
            </w:r>
          </w:p>
        </w:tc>
      </w:tr>
      <w:tr>
        <w:tblPrEx>
          <w:tblCellMar>
            <w:top w:w="0" w:type="dxa"/>
            <w:left w:w="0" w:type="dxa"/>
            <w:bottom w:w="0" w:type="dxa"/>
            <w:right w:w="0" w:type="dxa"/>
          </w:tblCellMar>
        </w:tblPrEx>
        <w:trPr>
          <w:trHeight w:val="30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烈士纪念日</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2022年9月30日2022年烈士纪念日购鲜花等于费用</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优抚对象“解三难”</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1,233,996.00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1.2022年1月支付2021年下半年城镇下岗伤残军人救助7人4.61万元按伤残等级发放。2.支付优抚对象解三难经费61.79万元，3.镇（街道）优抚对象解三难经费57万元。</w:t>
            </w:r>
          </w:p>
        </w:tc>
      </w:tr>
      <w:tr>
        <w:tblPrEx>
          <w:tblCellMar>
            <w:top w:w="0" w:type="dxa"/>
            <w:left w:w="0" w:type="dxa"/>
            <w:bottom w:w="0" w:type="dxa"/>
            <w:right w:w="0" w:type="dxa"/>
          </w:tblCellMar>
        </w:tblPrEx>
        <w:trPr>
          <w:trHeight w:val="38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退役军人困难生活补助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40,080.00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6人，按伤残等级发放（2-5级）</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下岗失业伤残、参战退伍军人就业救助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170,940.00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3个街道2个镇共19人下岗失业伤残、参战退伍军人就业救助</w:t>
            </w:r>
          </w:p>
        </w:tc>
      </w:tr>
      <w:tr>
        <w:tblPrEx>
          <w:tblCellMar>
            <w:top w:w="0" w:type="dxa"/>
            <w:left w:w="0" w:type="dxa"/>
            <w:bottom w:w="0" w:type="dxa"/>
            <w:right w:w="0" w:type="dxa"/>
          </w:tblCellMar>
        </w:tblPrEx>
        <w:trPr>
          <w:trHeight w:val="9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其他费用</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270,570.00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1.退役军人责任保险7.19万元，820人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2.2022年上半年下岗失业伤残、参战退伍军人就业援助19.87万元。</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(7)1953年12月31日前参军后企业退休军队退役人员</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15,720.00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付2022年1953年12月31日前参军后在企业退休军队退役人员易光辕生活困难补助每月1210元（2022年）。</w:t>
            </w:r>
          </w:p>
        </w:tc>
      </w:tr>
      <w:tr>
        <w:tblPrEx>
          <w:tblCellMar>
            <w:top w:w="0" w:type="dxa"/>
            <w:left w:w="0" w:type="dxa"/>
            <w:bottom w:w="0" w:type="dxa"/>
            <w:right w:w="0" w:type="dxa"/>
          </w:tblCellMar>
        </w:tblPrEx>
        <w:trPr>
          <w:trHeight w:val="28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(8)优抚事业单位经费</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1,470,000.00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光荣院</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870,000.00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付光荣院优抚经费87万元，18人。其中上半年42万元，下半年15万元。拨付光荣院维修改造款30万元</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烈士纪念建筑物管理维修</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烈士广场建设一次性支付</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(9)入伍进藏进疆一次性奖励</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付2022年上半年入伍进疆进藏和高原条件兵一次性奖励金4万元（4人*1万元）</w:t>
            </w:r>
          </w:p>
        </w:tc>
      </w:tr>
      <w:tr>
        <w:tblPrEx>
          <w:tblCellMar>
            <w:top w:w="0" w:type="dxa"/>
            <w:left w:w="0" w:type="dxa"/>
            <w:bottom w:w="0" w:type="dxa"/>
            <w:right w:w="0" w:type="dxa"/>
          </w:tblCellMar>
        </w:tblPrEx>
        <w:trPr>
          <w:trHeight w:val="28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(10)大学生入伍一次性奖励</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388,000.00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付2022年入伍大学生一次性奖励金53人，标准（4000元、6000元、8000元）</w:t>
            </w:r>
          </w:p>
        </w:tc>
      </w:tr>
      <w:tr>
        <w:tblPrEx>
          <w:tblCellMar>
            <w:top w:w="0" w:type="dxa"/>
            <w:left w:w="0" w:type="dxa"/>
            <w:bottom w:w="0" w:type="dxa"/>
            <w:right w:w="0" w:type="dxa"/>
          </w:tblCellMar>
        </w:tblPrEx>
        <w:trPr>
          <w:trHeight w:val="41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2.退役安置经费</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974,186.50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(1)待安置期间生活费补助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58,680.00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共14人，每月每人1540元、1080元，按月发放。</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(2)自主就业一次性经济补偿</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720,000.00</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付2020年8人、2021年25人、2022年10人退役士兵自主就业一次性经济补助分别为4.95万元、51.30万元、15.75万元</w:t>
            </w:r>
          </w:p>
        </w:tc>
      </w:tr>
      <w:tr>
        <w:tblPrEx>
          <w:tblCellMar>
            <w:top w:w="0" w:type="dxa"/>
            <w:left w:w="0" w:type="dxa"/>
            <w:bottom w:w="0" w:type="dxa"/>
            <w:right w:w="0" w:type="dxa"/>
          </w:tblCellMar>
        </w:tblPrEx>
        <w:trPr>
          <w:trHeight w:val="52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(3)退役士兵职业培训补助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付2021年退役土兵杨洋技能培训费0.45万元，2022年44人培训生活费每天100元/人共2.81万元</w:t>
            </w:r>
          </w:p>
        </w:tc>
      </w:tr>
      <w:tr>
        <w:tblPrEx>
          <w:tblCellMar>
            <w:top w:w="0" w:type="dxa"/>
            <w:left w:w="0" w:type="dxa"/>
            <w:bottom w:w="0" w:type="dxa"/>
            <w:right w:w="0" w:type="dxa"/>
          </w:tblCellMar>
        </w:tblPrEx>
        <w:trPr>
          <w:trHeight w:val="51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(4)自主择业军队转业干部医疗保险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7,689.88</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付张成自主择业军队转业干部691.43元/月</w:t>
            </w:r>
          </w:p>
        </w:tc>
      </w:tr>
      <w:tr>
        <w:tblPrEx>
          <w:tblCellMar>
            <w:top w:w="0" w:type="dxa"/>
            <w:left w:w="0" w:type="dxa"/>
            <w:bottom w:w="0" w:type="dxa"/>
            <w:right w:w="0" w:type="dxa"/>
          </w:tblCellMar>
        </w:tblPrEx>
        <w:trPr>
          <w:trHeight w:val="4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(5)自主择业军队转业干部住房公积金</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8,820.00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付张成自主择业军队转业干部2021年7月到2022年12月自主择业军转干部住房公积金490元/月</w:t>
            </w:r>
          </w:p>
        </w:tc>
      </w:tr>
      <w:tr>
        <w:tblPrEx>
          <w:tblCellMar>
            <w:top w:w="0" w:type="dxa"/>
            <w:left w:w="0" w:type="dxa"/>
            <w:bottom w:w="0" w:type="dxa"/>
            <w:right w:w="0" w:type="dxa"/>
          </w:tblCellMar>
        </w:tblPrEx>
        <w:trPr>
          <w:trHeight w:val="33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(6)退役士兵社保补助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108,984.62</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安置人员11人，按连续月数计算，费率24%</w:t>
            </w:r>
          </w:p>
        </w:tc>
      </w:tr>
      <w:tr>
        <w:tblPrEx>
          <w:tblCellMar>
            <w:top w:w="0" w:type="dxa"/>
            <w:left w:w="0" w:type="dxa"/>
            <w:bottom w:w="0" w:type="dxa"/>
            <w:right w:w="0" w:type="dxa"/>
          </w:tblCellMar>
        </w:tblPrEx>
        <w:trPr>
          <w:trHeight w:val="61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(7)自主择业转业干部慰问</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支付自主择业干部（1人）张成春节慰问、“八一”慰问金</w:t>
            </w:r>
          </w:p>
        </w:tc>
      </w:tr>
      <w:tr>
        <w:tblPrEx>
          <w:tblCellMar>
            <w:top w:w="0" w:type="dxa"/>
            <w:left w:w="0" w:type="dxa"/>
            <w:bottom w:w="0" w:type="dxa"/>
            <w:right w:w="0" w:type="dxa"/>
          </w:tblCellMar>
        </w:tblPrEx>
        <w:trPr>
          <w:trHeight w:val="30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(8)随军家属生活补助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30,912.00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4人、最低生活保障7728元/年/人</w:t>
            </w:r>
          </w:p>
        </w:tc>
      </w:tr>
      <w:tr>
        <w:tblPrEx>
          <w:tblCellMar>
            <w:top w:w="0" w:type="dxa"/>
            <w:left w:w="0" w:type="dxa"/>
            <w:bottom w:w="0" w:type="dxa"/>
            <w:right w:w="0" w:type="dxa"/>
          </w:tblCellMar>
        </w:tblPrEx>
        <w:trPr>
          <w:trHeight w:val="30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3.军队离退休干部安置经费</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4,424,161.40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(1)军队离退休人员工资</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93,453.12</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军休干部鲁鑫工资7787.76元/月*12月</w:t>
            </w:r>
          </w:p>
        </w:tc>
      </w:tr>
      <w:tr>
        <w:tblPrEx>
          <w:tblCellMar>
            <w:top w:w="0" w:type="dxa"/>
            <w:left w:w="0" w:type="dxa"/>
            <w:bottom w:w="0" w:type="dxa"/>
            <w:right w:w="0" w:type="dxa"/>
          </w:tblCellMar>
        </w:tblPrEx>
        <w:trPr>
          <w:trHeight w:val="56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(2)军队离退休干部其他支出</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付军队退休干部鲁鑫春节慰问0.3万元、退休士官生活困难补助及节日慰问1.39万元</w:t>
            </w:r>
          </w:p>
        </w:tc>
      </w:tr>
      <w:tr>
        <w:tblPrEx>
          <w:tblCellMar>
            <w:top w:w="0" w:type="dxa"/>
            <w:left w:w="0" w:type="dxa"/>
            <w:bottom w:w="0" w:type="dxa"/>
            <w:right w:w="0" w:type="dxa"/>
          </w:tblCellMar>
        </w:tblPrEx>
        <w:trPr>
          <w:trHeight w:val="44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(3)军队离退休干部休养所建设</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3,445,340.06</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1.军休楼活动室维修改造（室内装修、家具采购）28.7万元(结算评审金额）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2.付军休干部爱国主义教育基地费用60万元，陆城镇政府为业主单位，购买100座烈士墓地，每座墓单价6000元。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3.付军队离退休人员活动场地工程款240万元，工程勘察、设计、监理等工程相关费用15.83万元，合同295.6万元，按竣工实测的工程支付价款。未付监理费2.8万元、工程费用55.6万元</w:t>
            </w:r>
          </w:p>
        </w:tc>
      </w:tr>
      <w:tr>
        <w:tblPrEx>
          <w:tblCellMar>
            <w:top w:w="0" w:type="dxa"/>
            <w:left w:w="0" w:type="dxa"/>
            <w:bottom w:w="0" w:type="dxa"/>
            <w:right w:w="0" w:type="dxa"/>
          </w:tblCellMar>
        </w:tblPrEx>
        <w:trPr>
          <w:trHeight w:val="1157"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(4)军队离退休干部管理机构</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868,468.22</w:t>
            </w:r>
          </w:p>
        </w:tc>
        <w:tc>
          <w:tcPr>
            <w:tcW w:w="69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三类人员李凯工资、三类人员绩效公积金补缴共计4.88万元，支付差旅费、水电费、零星维修及耗材费费用等共1.8万元；，网络配件1.92万元，给排水维修5.22万元，通用家具14.78万元，密集架9.78万元，监控道闸13.3万元、电子屏会议系统35.17万元</w:t>
            </w:r>
          </w:p>
        </w:tc>
      </w:tr>
      <w:tr>
        <w:tblPrEx>
          <w:tblCellMar>
            <w:top w:w="0" w:type="dxa"/>
            <w:left w:w="0" w:type="dxa"/>
            <w:bottom w:w="0" w:type="dxa"/>
            <w:right w:w="0" w:type="dxa"/>
          </w:tblCellMar>
        </w:tblPrEx>
        <w:trPr>
          <w:trHeight w:val="29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4.企业退休军转干部生活困难补助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127,380.00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1.企业军转干部春节、重阳节、八一节慰问2.85万元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2.付2022年企业军转干部生活困难补助9.39万元，12月*7980元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3.付2022年1-12月军转干部门诊费用0.5万元</w:t>
            </w:r>
          </w:p>
        </w:tc>
      </w:tr>
      <w:tr>
        <w:tblPrEx>
          <w:tblCellMar>
            <w:top w:w="0" w:type="dxa"/>
            <w:left w:w="0" w:type="dxa"/>
            <w:bottom w:w="0" w:type="dxa"/>
            <w:right w:w="0" w:type="dxa"/>
          </w:tblCellMar>
        </w:tblPrEx>
        <w:trPr>
          <w:trHeight w:val="46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(1)生活困难补助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101,880.00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付企业军转干部生活困难补助7980元/月</w:t>
            </w:r>
          </w:p>
        </w:tc>
      </w:tr>
      <w:tr>
        <w:tblPrEx>
          <w:tblCellMar>
            <w:top w:w="0" w:type="dxa"/>
            <w:left w:w="0" w:type="dxa"/>
            <w:bottom w:w="0" w:type="dxa"/>
            <w:right w:w="0" w:type="dxa"/>
          </w:tblCellMar>
        </w:tblPrEx>
        <w:trPr>
          <w:trHeight w:val="59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(2)医疗、门诊补助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付企业军转干部门诊补助 0.5万元、 春节慰问0.55万元</w:t>
            </w:r>
          </w:p>
        </w:tc>
      </w:tr>
      <w:tr>
        <w:tblPrEx>
          <w:tblCellMar>
            <w:top w:w="0" w:type="dxa"/>
            <w:left w:w="0" w:type="dxa"/>
            <w:bottom w:w="0" w:type="dxa"/>
            <w:right w:w="0" w:type="dxa"/>
          </w:tblCellMar>
        </w:tblPrEx>
        <w:trPr>
          <w:trHeight w:val="64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(3)节日慰问</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付企业军转干部春节慰问1万元、军转干部“八一”慰问金0.4万元、重阳节企业军转干部慰问0.1万元</w:t>
            </w:r>
          </w:p>
        </w:tc>
      </w:tr>
      <w:tr>
        <w:tblPrEx>
          <w:tblCellMar>
            <w:top w:w="0" w:type="dxa"/>
            <w:left w:w="0" w:type="dxa"/>
            <w:bottom w:w="0" w:type="dxa"/>
            <w:right w:w="0" w:type="dxa"/>
          </w:tblCellMar>
        </w:tblPrEx>
        <w:trPr>
          <w:trHeight w:val="424" w:hRule="atLeast"/>
        </w:trPr>
        <w:tc>
          <w:tcPr>
            <w:tcW w:w="1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5.基层退役军人服务体系运行补助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172,000.00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分付给基层5个镇街道。路口镇、陆城镇、松阳湖街道均为2.6万元*3=7.8万元，云溪街道6.3万元、长岭街道3.1万元。</w:t>
            </w:r>
          </w:p>
        </w:tc>
      </w:tr>
      <w:tr>
        <w:tblPrEx>
          <w:tblCellMar>
            <w:top w:w="0" w:type="dxa"/>
            <w:left w:w="0" w:type="dxa"/>
            <w:bottom w:w="0" w:type="dxa"/>
            <w:right w:w="0" w:type="dxa"/>
          </w:tblCellMar>
        </w:tblPrEx>
        <w:trPr>
          <w:trHeight w:val="420" w:hRule="atLeast"/>
        </w:trPr>
        <w:tc>
          <w:tcPr>
            <w:tcW w:w="15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6、其他支出（其他对个人和家庭的补助）</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3,500.00</w:t>
            </w:r>
          </w:p>
        </w:tc>
        <w:tc>
          <w:tcPr>
            <w:tcW w:w="69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局机关退役军人八一慰问4人*500元、献血3人*500</w:t>
            </w:r>
          </w:p>
        </w:tc>
      </w:tr>
    </w:tbl>
    <w:p>
      <w:pPr>
        <w:widowControl/>
        <w:shd w:val="clear" w:color="auto" w:fill="FFFFFF"/>
        <w:spacing w:line="660" w:lineRule="exact"/>
        <w:ind w:firstLine="643" w:firstLineChars="200"/>
        <w:rPr>
          <w:rFonts w:hint="eastAsia"/>
          <w:b/>
          <w:bCs/>
          <w:sz w:val="32"/>
          <w:szCs w:val="32"/>
          <w:lang w:val="en-US" w:eastAsia="zh-CN"/>
        </w:rPr>
      </w:pPr>
    </w:p>
    <w:p>
      <w:pPr>
        <w:widowControl/>
        <w:shd w:val="clear" w:color="auto" w:fill="FFFFFF"/>
        <w:spacing w:line="660" w:lineRule="exact"/>
        <w:ind w:firstLine="643" w:firstLineChars="200"/>
        <w:rPr>
          <w:rFonts w:hint="eastAsia"/>
          <w:b/>
          <w:bCs/>
          <w:sz w:val="32"/>
          <w:szCs w:val="32"/>
        </w:rPr>
      </w:pPr>
      <w:r>
        <w:rPr>
          <w:rFonts w:hint="eastAsia"/>
          <w:b/>
          <w:bCs/>
          <w:sz w:val="32"/>
          <w:szCs w:val="32"/>
          <w:lang w:val="en-US" w:eastAsia="zh-CN"/>
        </w:rPr>
        <w:t>三</w:t>
      </w:r>
      <w:r>
        <w:rPr>
          <w:rFonts w:hint="eastAsia"/>
          <w:b/>
          <w:bCs/>
          <w:sz w:val="32"/>
          <w:szCs w:val="32"/>
        </w:rPr>
        <w:t>、绩效评价工作情况</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(一)部门整体支出绩效评价依据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《中华人民共和国预算法》、湖南省财政厅关于印发《湖南省预算支出绩效评价管理办法》（湘财绩[2020]7号）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《中华人民共和国退役军人保障法》、湖南省《退伍义务兵安置条例》《湖南省自主就业退役士兵职业教育和技能培训资金使用管理办法》（湘财社〔2021〕25号）岳阳市退役军人事务局、</w:t>
      </w:r>
      <w:r>
        <w:rPr>
          <w:rFonts w:hint="eastAsia" w:ascii="宋体" w:hAnsi="宋体" w:eastAsia="宋体" w:cs="宋体"/>
          <w:color w:val="auto"/>
          <w:sz w:val="28"/>
          <w:szCs w:val="28"/>
          <w:highlight w:val="none"/>
          <w:lang w:val="en-US" w:eastAsia="zh-CN"/>
        </w:rPr>
        <w:t>岳阳市</w:t>
      </w:r>
      <w:r>
        <w:rPr>
          <w:rFonts w:hint="eastAsia" w:ascii="宋体" w:hAnsi="宋体" w:eastAsia="宋体" w:cs="宋体"/>
          <w:color w:val="auto"/>
          <w:sz w:val="28"/>
          <w:szCs w:val="28"/>
          <w:highlight w:val="none"/>
          <w:lang w:val="en-US" w:eastAsia="zh-CN"/>
        </w:rPr>
        <w:t>财政局《进一步做好义务兵家庭优待金和大学生一次性奖励金发放工作的通知》《岳阳市委</w:t>
      </w:r>
      <w:r>
        <w:rPr>
          <w:rFonts w:hint="eastAsia" w:ascii="宋体" w:hAnsi="宋体" w:eastAsia="宋体" w:cs="宋体"/>
          <w:color w:val="auto"/>
          <w:sz w:val="28"/>
          <w:szCs w:val="28"/>
          <w:highlight w:val="none"/>
          <w:lang w:val="en-US" w:eastAsia="zh-CN"/>
        </w:rPr>
        <w:t>退役军人事务工作领导小组办公室关于2022年县（市）区退役军人事务工作考核情况的函》云溪区委区政府《关于2022年度综合绩效等工作考核情况的通报》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三定方案、</w:t>
      </w:r>
      <w:r>
        <w:rPr>
          <w:rFonts w:hint="eastAsia" w:ascii="宋体" w:hAnsi="宋体" w:eastAsia="宋体" w:cs="宋体"/>
          <w:color w:val="auto"/>
          <w:sz w:val="28"/>
          <w:szCs w:val="28"/>
          <w:highlight w:val="none"/>
          <w:lang w:val="en-US" w:eastAsia="zh-CN"/>
        </w:rPr>
        <w:t>本级人大审查结果报告、审计报告及决定，财政监督稽核报告等，</w:t>
      </w:r>
      <w:r>
        <w:rPr>
          <w:rFonts w:hint="eastAsia" w:ascii="宋体" w:hAnsi="宋体" w:eastAsia="宋体" w:cs="宋体"/>
          <w:color w:val="auto"/>
          <w:sz w:val="28"/>
          <w:szCs w:val="28"/>
          <w:highlight w:val="none"/>
          <w:lang w:val="en-US" w:eastAsia="zh-CN"/>
        </w:rPr>
        <w:t>云溪区退役军人事务局《财务管理制度》《内部审计管理制度》、《2022年云溪区退役军人事务局2022年部门整体支出自评报告》《2022年退役军人工作综合考评自查报告》《2023年退役军人事务专项资金检查回头看情况汇报》《2023年</w:t>
      </w:r>
      <w:r>
        <w:rPr>
          <w:rFonts w:hint="eastAsia" w:ascii="宋体" w:hAnsi="宋体" w:eastAsia="宋体" w:cs="宋体"/>
          <w:color w:val="auto"/>
          <w:sz w:val="28"/>
          <w:szCs w:val="28"/>
          <w:highlight w:val="none"/>
          <w:lang w:val="en-US" w:eastAsia="zh-CN"/>
        </w:rPr>
        <w:t>退役军人事务专项资金检查情况汇报</w:t>
      </w:r>
      <w:r>
        <w:rPr>
          <w:rFonts w:hint="eastAsia" w:ascii="宋体" w:hAnsi="宋体" w:eastAsia="宋体" w:cs="宋体"/>
          <w:color w:val="auto"/>
          <w:sz w:val="28"/>
          <w:szCs w:val="28"/>
          <w:highlight w:val="none"/>
          <w:lang w:val="en-US" w:eastAsia="zh-CN"/>
        </w:rPr>
        <w:t>》、云溪区退役军人事务局2022年工作总结、工作计划、财务报表、财务凭证、其他相关资料等。</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(二)部门整体支出绩效评价目的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通过对</w:t>
      </w: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年区退役军人事务局</w:t>
      </w:r>
      <w:r>
        <w:rPr>
          <w:rFonts w:hint="eastAsia" w:ascii="宋体" w:hAnsi="宋体" w:eastAsia="宋体" w:cs="宋体"/>
          <w:sz w:val="28"/>
          <w:szCs w:val="28"/>
        </w:rPr>
        <w:t>的预算配置、预算管理、资产管理、职责履行、履职效益等内容的绩效考评，提高财政资金的使用效率</w:t>
      </w:r>
      <w:r>
        <w:rPr>
          <w:rFonts w:hint="eastAsia" w:ascii="宋体" w:hAnsi="宋体" w:eastAsia="宋体" w:cs="宋体"/>
          <w:sz w:val="28"/>
          <w:szCs w:val="28"/>
          <w:lang w:val="en-US" w:eastAsia="zh-CN"/>
        </w:rPr>
        <w:t>和政策实施效果</w:t>
      </w:r>
      <w:r>
        <w:rPr>
          <w:rFonts w:hint="eastAsia" w:ascii="宋体" w:hAnsi="宋体" w:eastAsia="宋体" w:cs="宋体"/>
          <w:sz w:val="28"/>
          <w:szCs w:val="28"/>
        </w:rPr>
        <w:t>，为</w:t>
      </w:r>
      <w:r>
        <w:rPr>
          <w:rFonts w:hint="eastAsia" w:ascii="宋体" w:hAnsi="宋体" w:eastAsia="宋体" w:cs="宋体"/>
          <w:sz w:val="28"/>
          <w:szCs w:val="28"/>
          <w:lang w:val="en-US" w:eastAsia="zh-CN"/>
        </w:rPr>
        <w:t>年度预算执行、预算调整及压减一般性支出及</w:t>
      </w:r>
      <w:r>
        <w:rPr>
          <w:rFonts w:hint="eastAsia" w:ascii="宋体" w:hAnsi="宋体" w:eastAsia="宋体" w:cs="宋体"/>
          <w:sz w:val="28"/>
          <w:szCs w:val="28"/>
        </w:rPr>
        <w:t>财政部门预算管理提供决策</w:t>
      </w:r>
      <w:r>
        <w:rPr>
          <w:rFonts w:hint="eastAsia" w:ascii="宋体" w:hAnsi="宋体" w:eastAsia="宋体" w:cs="宋体"/>
          <w:sz w:val="28"/>
          <w:szCs w:val="28"/>
          <w:lang w:val="en-US" w:eastAsia="zh-CN"/>
        </w:rPr>
        <w:t>参考</w:t>
      </w:r>
      <w:r>
        <w:rPr>
          <w:rFonts w:hint="eastAsia" w:ascii="宋体" w:hAnsi="宋体" w:eastAsia="宋体" w:cs="宋体"/>
          <w:sz w:val="28"/>
          <w:szCs w:val="28"/>
        </w:rPr>
        <w:t xml:space="preserve">依据。 </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(三)</w:t>
      </w:r>
      <w:r>
        <w:rPr>
          <w:rFonts w:hint="eastAsia" w:ascii="楷体_GB2312" w:hAnsi="Times New Roman" w:eastAsia="楷体_GB2312" w:cs="Times New Roman"/>
          <w:b/>
          <w:kern w:val="0"/>
          <w:sz w:val="32"/>
          <w:szCs w:val="32"/>
          <w:lang w:val="en-US" w:eastAsia="zh-CN"/>
        </w:rPr>
        <w:t>绩效</w:t>
      </w:r>
      <w:r>
        <w:rPr>
          <w:rFonts w:hint="eastAsia" w:ascii="楷体_GB2312" w:hAnsi="Times New Roman" w:eastAsia="楷体_GB2312" w:cs="Times New Roman"/>
          <w:b/>
          <w:kern w:val="0"/>
          <w:sz w:val="32"/>
          <w:szCs w:val="32"/>
        </w:rPr>
        <w:t>评价原则、指标评价体系、评价</w:t>
      </w:r>
      <w:r>
        <w:rPr>
          <w:rFonts w:hint="eastAsia" w:ascii="楷体_GB2312" w:hAnsi="Times New Roman" w:eastAsia="楷体_GB2312" w:cs="Times New Roman"/>
          <w:b/>
          <w:kern w:val="0"/>
          <w:sz w:val="32"/>
          <w:szCs w:val="32"/>
          <w:lang w:val="en-US" w:eastAsia="zh-CN"/>
        </w:rPr>
        <w:t>标准及</w:t>
      </w:r>
      <w:r>
        <w:rPr>
          <w:rFonts w:hint="eastAsia" w:ascii="楷体_GB2312" w:hAnsi="Times New Roman" w:eastAsia="楷体_GB2312" w:cs="Times New Roman"/>
          <w:b/>
          <w:kern w:val="0"/>
          <w:sz w:val="32"/>
          <w:szCs w:val="32"/>
        </w:rPr>
        <w:t>方法</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绩效评价原则</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科学</w:t>
      </w:r>
      <w:r>
        <w:rPr>
          <w:rFonts w:hint="eastAsia" w:ascii="宋体" w:hAnsi="宋体" w:eastAsia="宋体" w:cs="宋体"/>
          <w:b w:val="0"/>
          <w:bCs w:val="0"/>
          <w:sz w:val="28"/>
          <w:szCs w:val="28"/>
        </w:rPr>
        <w:t>公正，</w:t>
      </w:r>
      <w:r>
        <w:rPr>
          <w:rFonts w:hint="eastAsia" w:ascii="宋体" w:hAnsi="宋体" w:eastAsia="宋体" w:cs="宋体"/>
          <w:b w:val="0"/>
          <w:bCs w:val="0"/>
          <w:sz w:val="28"/>
          <w:szCs w:val="28"/>
          <w:lang w:val="en-US" w:eastAsia="zh-CN"/>
        </w:rPr>
        <w:t>统筹兼顾</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激励约束</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公开透明</w:t>
      </w:r>
      <w:r>
        <w:rPr>
          <w:rFonts w:hint="eastAsia" w:ascii="宋体" w:hAnsi="宋体" w:eastAsia="宋体" w:cs="宋体"/>
          <w:b w:val="0"/>
          <w:bCs w:val="0"/>
          <w:sz w:val="28"/>
          <w:szCs w:val="28"/>
        </w:rPr>
        <w:t>的原则。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60" w:left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整体支出绩效评价体系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rPr>
        <w:t>指标体系包括共性指标和个性指标两部分，主要参照了</w:t>
      </w:r>
      <w:r>
        <w:rPr>
          <w:rFonts w:hint="eastAsia" w:ascii="宋体" w:hAnsi="宋体" w:eastAsia="宋体" w:cs="宋体"/>
          <w:b w:val="0"/>
          <w:bCs w:val="0"/>
          <w:sz w:val="28"/>
          <w:szCs w:val="28"/>
          <w:lang w:val="en-US" w:eastAsia="zh-CN"/>
        </w:rPr>
        <w:t>湖南省</w:t>
      </w:r>
      <w:r>
        <w:rPr>
          <w:rFonts w:hint="eastAsia" w:ascii="宋体" w:hAnsi="宋体" w:eastAsia="宋体" w:cs="宋体"/>
          <w:b w:val="0"/>
          <w:bCs w:val="0"/>
          <w:sz w:val="28"/>
          <w:szCs w:val="28"/>
        </w:rPr>
        <w:t>财政</w:t>
      </w:r>
      <w:r>
        <w:rPr>
          <w:rFonts w:hint="eastAsia" w:ascii="宋体" w:hAnsi="宋体" w:eastAsia="宋体" w:cs="宋体"/>
          <w:b w:val="0"/>
          <w:bCs w:val="0"/>
          <w:sz w:val="28"/>
          <w:szCs w:val="28"/>
          <w:lang w:val="en-US" w:eastAsia="zh-CN"/>
        </w:rPr>
        <w:t>厅印发</w:t>
      </w:r>
      <w:r>
        <w:rPr>
          <w:rFonts w:hint="eastAsia" w:ascii="宋体" w:hAnsi="宋体" w:eastAsia="宋体" w:cs="宋体"/>
          <w:b w:val="0"/>
          <w:bCs w:val="0"/>
          <w:sz w:val="28"/>
          <w:szCs w:val="28"/>
        </w:rPr>
        <w:t>的《</w:t>
      </w:r>
      <w:r>
        <w:rPr>
          <w:rFonts w:hint="eastAsia" w:ascii="宋体" w:hAnsi="宋体" w:eastAsia="宋体" w:cs="宋体"/>
          <w:b w:val="0"/>
          <w:bCs w:val="0"/>
          <w:sz w:val="28"/>
          <w:szCs w:val="28"/>
          <w:lang w:val="en-US" w:eastAsia="zh-CN"/>
        </w:rPr>
        <w:t>湖南省预算支出绩效评价管理办法》附件“</w:t>
      </w:r>
      <w:r>
        <w:rPr>
          <w:rFonts w:hint="eastAsia" w:ascii="宋体" w:hAnsi="宋体" w:eastAsia="宋体" w:cs="宋体"/>
          <w:b w:val="0"/>
          <w:bCs w:val="0"/>
          <w:sz w:val="28"/>
          <w:szCs w:val="28"/>
        </w:rPr>
        <w:t>部门整体支出绩效评价指标体系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并</w:t>
      </w:r>
      <w:r>
        <w:rPr>
          <w:rFonts w:hint="eastAsia" w:ascii="宋体" w:hAnsi="宋体" w:eastAsia="宋体" w:cs="宋体"/>
          <w:b w:val="0"/>
          <w:bCs w:val="0"/>
          <w:sz w:val="28"/>
          <w:szCs w:val="28"/>
        </w:rPr>
        <w:t>根据</w:t>
      </w:r>
      <w:r>
        <w:rPr>
          <w:rFonts w:hint="eastAsia" w:ascii="宋体" w:hAnsi="宋体" w:eastAsia="宋体" w:cs="宋体"/>
          <w:b w:val="0"/>
          <w:bCs w:val="0"/>
          <w:sz w:val="28"/>
          <w:szCs w:val="28"/>
          <w:lang w:val="en-US" w:eastAsia="zh-CN"/>
        </w:rPr>
        <w:t>本</w:t>
      </w:r>
      <w:r>
        <w:rPr>
          <w:rFonts w:hint="eastAsia" w:ascii="宋体" w:hAnsi="宋体" w:eastAsia="宋体" w:cs="宋体"/>
          <w:b w:val="0"/>
          <w:bCs w:val="0"/>
          <w:sz w:val="28"/>
          <w:szCs w:val="28"/>
        </w:rPr>
        <w:t>部门具体情况对个性指标进行了调整细化</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本项目绩效评价一级指标包括</w:t>
      </w:r>
      <w:r>
        <w:rPr>
          <w:rFonts w:hint="eastAsia" w:ascii="宋体" w:hAnsi="宋体" w:eastAsia="宋体" w:cs="宋体"/>
          <w:b w:val="0"/>
          <w:bCs w:val="0"/>
          <w:sz w:val="28"/>
          <w:szCs w:val="28"/>
          <w:lang w:val="en-US" w:eastAsia="zh-CN"/>
        </w:rPr>
        <w:t>投入、过程、</w:t>
      </w:r>
      <w:r>
        <w:rPr>
          <w:rFonts w:hint="eastAsia" w:ascii="宋体" w:hAnsi="宋体" w:eastAsia="宋体" w:cs="宋体"/>
          <w:b w:val="0"/>
          <w:bCs w:val="0"/>
          <w:sz w:val="28"/>
          <w:szCs w:val="28"/>
        </w:rPr>
        <w:t>产出、效</w:t>
      </w:r>
      <w:r>
        <w:rPr>
          <w:rFonts w:hint="eastAsia" w:ascii="宋体" w:hAnsi="宋体" w:eastAsia="宋体" w:cs="宋体"/>
          <w:b w:val="0"/>
          <w:bCs w:val="0"/>
          <w:sz w:val="28"/>
          <w:szCs w:val="28"/>
          <w:lang w:val="en-US" w:eastAsia="zh-CN"/>
        </w:rPr>
        <w:t>益四</w:t>
      </w:r>
      <w:r>
        <w:rPr>
          <w:rFonts w:hint="eastAsia" w:ascii="宋体" w:hAnsi="宋体" w:eastAsia="宋体" w:cs="宋体"/>
          <w:b w:val="0"/>
          <w:bCs w:val="0"/>
          <w:sz w:val="28"/>
          <w:szCs w:val="28"/>
        </w:rPr>
        <w:t>个方面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指标权重分别设置为12</w:t>
      </w:r>
      <w:r>
        <w:rPr>
          <w:rFonts w:hint="eastAsia" w:ascii="宋体" w:hAnsi="宋体" w:eastAsia="宋体" w:cs="宋体"/>
          <w:b w:val="0"/>
          <w:bCs w:val="0"/>
          <w:sz w:val="28"/>
          <w:szCs w:val="28"/>
          <w:highlight w:val="none"/>
          <w:lang w:val="en-US" w:eastAsia="zh-CN"/>
        </w:rPr>
        <w:t>%、28%、30%、30%</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lang w:val="en-US" w:eastAsia="zh-CN"/>
        </w:rPr>
        <w:t>二级指标主要设置项目设定、预算配置、预算执行、预算管理、资产管理、职责履行、履职效益等；根据项目特点在二级指标基础上细化三类指标31个，</w:t>
      </w:r>
      <w:r>
        <w:rPr>
          <w:rFonts w:hint="eastAsia" w:ascii="宋体" w:hAnsi="宋体" w:eastAsia="宋体" w:cs="宋体"/>
          <w:b w:val="0"/>
          <w:bCs w:val="0"/>
          <w:sz w:val="28"/>
          <w:szCs w:val="28"/>
        </w:rPr>
        <w:t>形成《</w:t>
      </w:r>
      <w:r>
        <w:rPr>
          <w:rFonts w:hint="eastAsia" w:ascii="宋体" w:hAnsi="宋体" w:eastAsia="宋体" w:cs="宋体"/>
          <w:b w:val="0"/>
          <w:bCs w:val="0"/>
          <w:sz w:val="28"/>
          <w:szCs w:val="28"/>
          <w:highlight w:val="none"/>
          <w:lang w:eastAsia="zh-CN"/>
        </w:rPr>
        <w:t>20</w:t>
      </w:r>
      <w:r>
        <w:rPr>
          <w:rFonts w:hint="eastAsia" w:ascii="宋体" w:hAnsi="宋体" w:eastAsia="宋体" w:cs="宋体"/>
          <w:b w:val="0"/>
          <w:bCs w:val="0"/>
          <w:sz w:val="28"/>
          <w:szCs w:val="28"/>
          <w:highlight w:val="none"/>
          <w:lang w:val="en-US" w:eastAsia="zh-CN"/>
        </w:rPr>
        <w:t>22</w:t>
      </w:r>
      <w:r>
        <w:rPr>
          <w:rFonts w:hint="eastAsia" w:ascii="宋体" w:hAnsi="宋体" w:eastAsia="宋体" w:cs="宋体"/>
          <w:b w:val="0"/>
          <w:bCs w:val="0"/>
          <w:sz w:val="28"/>
          <w:szCs w:val="28"/>
          <w:highlight w:val="none"/>
          <w:lang w:eastAsia="zh-CN"/>
        </w:rPr>
        <w:t>年</w:t>
      </w:r>
      <w:r>
        <w:rPr>
          <w:rFonts w:hint="eastAsia" w:ascii="宋体" w:hAnsi="宋体" w:eastAsia="宋体" w:cs="宋体"/>
          <w:b w:val="0"/>
          <w:bCs w:val="0"/>
          <w:sz w:val="28"/>
          <w:szCs w:val="28"/>
          <w:highlight w:val="none"/>
        </w:rPr>
        <w:t>度</w:t>
      </w:r>
      <w:r>
        <w:rPr>
          <w:rFonts w:hint="eastAsia" w:ascii="宋体" w:hAnsi="宋体" w:eastAsia="宋体" w:cs="宋体"/>
          <w:b w:val="0"/>
          <w:bCs w:val="0"/>
          <w:sz w:val="28"/>
          <w:szCs w:val="28"/>
          <w:lang w:eastAsia="zh-CN"/>
        </w:rPr>
        <w:t>区退役军人事务局</w:t>
      </w:r>
      <w:r>
        <w:rPr>
          <w:rFonts w:hint="eastAsia" w:ascii="宋体" w:hAnsi="宋体" w:eastAsia="宋体" w:cs="宋体"/>
          <w:b w:val="0"/>
          <w:bCs w:val="0"/>
          <w:sz w:val="28"/>
          <w:szCs w:val="28"/>
          <w:highlight w:val="none"/>
        </w:rPr>
        <w:t>整体支</w:t>
      </w:r>
      <w:r>
        <w:rPr>
          <w:rFonts w:hint="eastAsia" w:ascii="宋体" w:hAnsi="宋体" w:eastAsia="宋体" w:cs="宋体"/>
          <w:b w:val="0"/>
          <w:bCs w:val="0"/>
          <w:sz w:val="28"/>
          <w:szCs w:val="28"/>
        </w:rPr>
        <w:t>出绩效评价指标体系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附件1)及《</w:t>
      </w:r>
      <w:r>
        <w:rPr>
          <w:rFonts w:hint="eastAsia" w:ascii="宋体" w:hAnsi="宋体" w:eastAsia="宋体" w:cs="宋体"/>
          <w:b w:val="0"/>
          <w:bCs w:val="0"/>
          <w:sz w:val="28"/>
          <w:szCs w:val="28"/>
          <w:highlight w:val="none"/>
          <w:lang w:eastAsia="zh-CN"/>
        </w:rPr>
        <w:t>20</w:t>
      </w:r>
      <w:r>
        <w:rPr>
          <w:rFonts w:hint="eastAsia" w:ascii="宋体" w:hAnsi="宋体" w:eastAsia="宋体" w:cs="宋体"/>
          <w:b w:val="0"/>
          <w:bCs w:val="0"/>
          <w:sz w:val="28"/>
          <w:szCs w:val="28"/>
          <w:highlight w:val="none"/>
          <w:lang w:val="en-US" w:eastAsia="zh-CN"/>
        </w:rPr>
        <w:t>22</w:t>
      </w:r>
      <w:r>
        <w:rPr>
          <w:rFonts w:hint="eastAsia" w:ascii="宋体" w:hAnsi="宋体" w:eastAsia="宋体" w:cs="宋体"/>
          <w:b w:val="0"/>
          <w:bCs w:val="0"/>
          <w:sz w:val="28"/>
          <w:szCs w:val="28"/>
          <w:highlight w:val="none"/>
          <w:lang w:eastAsia="zh-CN"/>
        </w:rPr>
        <w:t>年</w:t>
      </w:r>
      <w:r>
        <w:rPr>
          <w:rFonts w:hint="eastAsia" w:ascii="宋体" w:hAnsi="宋体" w:eastAsia="宋体" w:cs="宋体"/>
          <w:b w:val="0"/>
          <w:bCs w:val="0"/>
          <w:sz w:val="28"/>
          <w:szCs w:val="28"/>
          <w:highlight w:val="none"/>
        </w:rPr>
        <w:t>度</w:t>
      </w:r>
      <w:r>
        <w:rPr>
          <w:rFonts w:hint="eastAsia" w:ascii="宋体" w:hAnsi="宋体" w:eastAsia="宋体" w:cs="宋体"/>
          <w:b w:val="0"/>
          <w:bCs w:val="0"/>
          <w:sz w:val="28"/>
          <w:szCs w:val="28"/>
          <w:lang w:eastAsia="zh-CN"/>
        </w:rPr>
        <w:t>区退役军人事务局</w:t>
      </w:r>
      <w:r>
        <w:rPr>
          <w:rFonts w:hint="eastAsia" w:ascii="宋体" w:hAnsi="宋体" w:eastAsia="宋体" w:cs="宋体"/>
          <w:b w:val="0"/>
          <w:bCs w:val="0"/>
          <w:sz w:val="28"/>
          <w:szCs w:val="28"/>
          <w:highlight w:val="none"/>
        </w:rPr>
        <w:t>整体支</w:t>
      </w:r>
      <w:r>
        <w:rPr>
          <w:rFonts w:hint="eastAsia" w:ascii="宋体" w:hAnsi="宋体" w:eastAsia="宋体" w:cs="宋体"/>
          <w:b w:val="0"/>
          <w:bCs w:val="0"/>
          <w:sz w:val="28"/>
          <w:szCs w:val="28"/>
        </w:rPr>
        <w:t>出绩效评价</w:t>
      </w:r>
      <w:r>
        <w:rPr>
          <w:rFonts w:hint="eastAsia" w:ascii="宋体" w:hAnsi="宋体" w:eastAsia="宋体" w:cs="宋体"/>
          <w:b w:val="0"/>
          <w:bCs w:val="0"/>
          <w:sz w:val="28"/>
          <w:szCs w:val="28"/>
          <w:lang w:eastAsia="zh-CN"/>
        </w:rPr>
        <w:t>评分表</w:t>
      </w:r>
      <w:r>
        <w:rPr>
          <w:rFonts w:hint="eastAsia" w:ascii="宋体" w:hAnsi="宋体" w:eastAsia="宋体" w:cs="宋体"/>
          <w:b w:val="0"/>
          <w:bCs w:val="0"/>
          <w:sz w:val="28"/>
          <w:szCs w:val="28"/>
        </w:rPr>
        <w:t>》(附件2)。</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2.评分标准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绩效评价结果采取评分与评级相结合的方式，总分设置为100分，等级划分为四档：90（含）-100分为优、80（含）-90分为良、60（含）-80分为</w:t>
      </w:r>
      <w:r>
        <w:rPr>
          <w:rFonts w:hint="eastAsia" w:ascii="宋体" w:hAnsi="宋体" w:eastAsia="宋体" w:cs="宋体"/>
          <w:b w:val="0"/>
          <w:bCs w:val="0"/>
          <w:sz w:val="28"/>
          <w:szCs w:val="28"/>
          <w:highlight w:val="none"/>
          <w:lang w:val="en-US" w:eastAsia="zh-CN"/>
        </w:rPr>
        <w:t>一般</w:t>
      </w:r>
      <w:r>
        <w:rPr>
          <w:rFonts w:hint="eastAsia" w:ascii="宋体" w:hAnsi="宋体" w:eastAsia="宋体" w:cs="宋体"/>
          <w:b w:val="0"/>
          <w:bCs w:val="0"/>
          <w:sz w:val="28"/>
          <w:szCs w:val="28"/>
          <w:lang w:val="en-US" w:eastAsia="zh-CN"/>
        </w:rPr>
        <w:t>、60分以下为差。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宋体" w:hAnsi="宋体" w:eastAsia="宋体" w:cs="宋体"/>
          <w:b/>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绩效评价方法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本次绩效评价以核查、访谈座谈、问卷调查、实地核实为基础，综合运用比较法、因素分析法、公众评判法等开展绩效评价。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4.绩效评价标准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（1）计划标准。以预先制定的目标、计划、预算、定额等作为评价标准。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（2）行业标准。参照国家公布的行业指标数据制定的评价标准。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（3）历史标准</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val="en-US" w:eastAsia="zh-CN"/>
        </w:rPr>
        <w:t>参照历史数据制定的评价标准，为体现绩效改进的原则，在可实现的条件下确定相对较高的评价标准</w:t>
      </w:r>
      <w:r>
        <w:rPr>
          <w:rFonts w:hint="eastAsia" w:ascii="宋体" w:hAnsi="宋体" w:eastAsia="宋体" w:cs="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lang w:val="en-US" w:eastAsia="zh-CN"/>
        </w:rPr>
      </w:pPr>
      <w:r>
        <w:rPr>
          <w:rFonts w:hint="eastAsia" w:ascii="宋体" w:hAnsi="宋体" w:eastAsia="宋体" w:cs="宋体"/>
          <w:b w:val="0"/>
          <w:bCs w:val="0"/>
          <w:sz w:val="28"/>
          <w:szCs w:val="28"/>
          <w:lang w:val="en-US" w:eastAsia="zh-CN"/>
        </w:rPr>
        <w:t>（4）其他标准。财政部门和预算部门确认或认可的其他标准。</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(四)整体支出绩效评价过程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kern w:val="0"/>
          <w:sz w:val="28"/>
          <w:szCs w:val="28"/>
        </w:rPr>
      </w:pPr>
      <w:r>
        <w:rPr>
          <w:rFonts w:hint="eastAsia" w:ascii="宋体" w:hAnsi="宋体" w:eastAsia="宋体" w:cs="宋体"/>
          <w:b w:val="0"/>
          <w:bCs w:val="0"/>
          <w:sz w:val="28"/>
          <w:szCs w:val="28"/>
          <w:lang w:val="en-US" w:eastAsia="zh-CN"/>
        </w:rPr>
        <w:t>绩效评价工作程序包括前期准备、实施、总结及绩效评价报告报送三个阶段。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前期准备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按照绩效</w:t>
      </w:r>
      <w:r>
        <w:rPr>
          <w:rFonts w:hint="eastAsia" w:ascii="宋体" w:hAnsi="宋体" w:eastAsia="宋体" w:cs="宋体"/>
          <w:sz w:val="28"/>
          <w:szCs w:val="28"/>
          <w:lang w:eastAsia="zh-CN"/>
        </w:rPr>
        <w:t>评价</w:t>
      </w:r>
      <w:r>
        <w:rPr>
          <w:rFonts w:hint="eastAsia" w:ascii="宋体" w:hAnsi="宋体" w:eastAsia="宋体" w:cs="宋体"/>
          <w:sz w:val="28"/>
          <w:szCs w:val="28"/>
        </w:rPr>
        <w:t>工作要求，</w:t>
      </w:r>
      <w:r>
        <w:rPr>
          <w:rFonts w:hint="eastAsia" w:ascii="宋体" w:hAnsi="宋体" w:eastAsia="宋体" w:cs="宋体"/>
          <w:sz w:val="28"/>
          <w:szCs w:val="28"/>
          <w:lang w:val="en-US" w:eastAsia="zh-CN"/>
        </w:rPr>
        <w:t>我所</w:t>
      </w:r>
      <w:r>
        <w:rPr>
          <w:rFonts w:hint="eastAsia" w:ascii="宋体" w:hAnsi="宋体" w:eastAsia="宋体" w:cs="宋体"/>
          <w:sz w:val="28"/>
          <w:szCs w:val="28"/>
        </w:rPr>
        <w:t>组成</w:t>
      </w:r>
      <w:r>
        <w:rPr>
          <w:rFonts w:hint="eastAsia" w:ascii="宋体" w:hAnsi="宋体" w:eastAsia="宋体" w:cs="宋体"/>
          <w:sz w:val="28"/>
          <w:szCs w:val="28"/>
          <w:lang w:val="en-US" w:eastAsia="zh-CN"/>
        </w:rPr>
        <w:t>了</w:t>
      </w:r>
      <w:r>
        <w:rPr>
          <w:rFonts w:hint="eastAsia" w:ascii="宋体" w:hAnsi="宋体" w:eastAsia="宋体" w:cs="宋体"/>
          <w:sz w:val="28"/>
          <w:szCs w:val="28"/>
        </w:rPr>
        <w:t>以彭岳斌</w:t>
      </w:r>
      <w:r>
        <w:rPr>
          <w:rFonts w:hint="eastAsia" w:ascii="宋体" w:hAnsi="宋体" w:eastAsia="宋体" w:cs="宋体"/>
          <w:sz w:val="28"/>
          <w:szCs w:val="28"/>
          <w:lang w:val="en-US" w:eastAsia="zh-CN"/>
        </w:rPr>
        <w:t>所长</w:t>
      </w:r>
      <w:r>
        <w:rPr>
          <w:rFonts w:hint="eastAsia" w:ascii="宋体" w:hAnsi="宋体" w:eastAsia="宋体" w:cs="宋体"/>
          <w:sz w:val="28"/>
          <w:szCs w:val="28"/>
        </w:rPr>
        <w:t>为组长的绩效评价工作小组，</w:t>
      </w:r>
      <w:r>
        <w:rPr>
          <w:rFonts w:hint="eastAsia" w:ascii="宋体" w:hAnsi="宋体" w:eastAsia="宋体" w:cs="宋体"/>
          <w:sz w:val="28"/>
          <w:szCs w:val="28"/>
          <w:lang w:eastAsia="zh-CN"/>
        </w:rPr>
        <w:t>对小组成员明确了具体分工，</w:t>
      </w:r>
      <w:r>
        <w:rPr>
          <w:rFonts w:hint="eastAsia" w:ascii="宋体" w:hAnsi="宋体" w:eastAsia="宋体" w:cs="宋体"/>
          <w:b w:val="0"/>
          <w:bCs w:val="0"/>
          <w:sz w:val="28"/>
          <w:szCs w:val="28"/>
        </w:rPr>
        <w:t>制定了部门整体支出绩效评价实施方案，设计了绩效评价</w:t>
      </w:r>
      <w:r>
        <w:rPr>
          <w:rFonts w:hint="eastAsia" w:ascii="宋体" w:hAnsi="宋体" w:eastAsia="宋体" w:cs="宋体"/>
          <w:sz w:val="28"/>
          <w:szCs w:val="28"/>
        </w:rPr>
        <w:t>指标体系</w:t>
      </w:r>
      <w:r>
        <w:rPr>
          <w:rFonts w:hint="eastAsia" w:ascii="宋体" w:hAnsi="宋体" w:eastAsia="宋体" w:cs="宋体"/>
          <w:sz w:val="28"/>
          <w:szCs w:val="28"/>
          <w:lang w:eastAsia="zh-CN"/>
        </w:rPr>
        <w:t>、评分表及</w:t>
      </w:r>
      <w:r>
        <w:rPr>
          <w:rFonts w:hint="eastAsia" w:ascii="宋体" w:hAnsi="宋体" w:eastAsia="宋体" w:cs="宋体"/>
          <w:sz w:val="28"/>
          <w:szCs w:val="28"/>
        </w:rPr>
        <w:t>问卷调查表。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组织实施</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核实及分析基础数据及内控制度建设情况。</w:t>
      </w:r>
      <w:r>
        <w:rPr>
          <w:rFonts w:hint="eastAsia" w:ascii="宋体" w:hAnsi="宋体" w:eastAsia="宋体" w:cs="宋体"/>
          <w:sz w:val="28"/>
          <w:szCs w:val="28"/>
          <w:lang w:eastAsia="zh-CN"/>
        </w:rPr>
        <w:t>根据区退役军人事务局提供的财务资料，主要</w:t>
      </w:r>
      <w:r>
        <w:rPr>
          <w:rFonts w:hint="eastAsia" w:ascii="宋体" w:hAnsi="宋体" w:eastAsia="宋体" w:cs="宋体"/>
          <w:sz w:val="28"/>
          <w:szCs w:val="28"/>
        </w:rPr>
        <w:t>核</w:t>
      </w:r>
      <w:r>
        <w:rPr>
          <w:rFonts w:hint="eastAsia" w:ascii="宋体" w:hAnsi="宋体" w:eastAsia="宋体" w:cs="宋体"/>
          <w:sz w:val="28"/>
          <w:szCs w:val="28"/>
          <w:lang w:eastAsia="zh-CN"/>
        </w:rPr>
        <w:t>实及分析</w:t>
      </w:r>
      <w:r>
        <w:rPr>
          <w:rFonts w:hint="eastAsia" w:ascii="宋体" w:hAnsi="宋体" w:eastAsia="宋体" w:cs="宋体"/>
          <w:b w:val="0"/>
          <w:bCs w:val="0"/>
          <w:sz w:val="28"/>
          <w:szCs w:val="28"/>
          <w:lang w:val="en-US" w:eastAsia="zh-CN"/>
        </w:rPr>
        <w:t>2022年</w:t>
      </w:r>
      <w:r>
        <w:rPr>
          <w:rFonts w:hint="eastAsia" w:ascii="宋体" w:hAnsi="宋体" w:eastAsia="宋体" w:cs="宋体"/>
          <w:sz w:val="28"/>
          <w:szCs w:val="28"/>
          <w:lang w:eastAsia="zh-CN"/>
        </w:rPr>
        <w:t>区退役军人事务局</w:t>
      </w:r>
      <w:r>
        <w:rPr>
          <w:rFonts w:hint="eastAsia" w:ascii="宋体" w:hAnsi="宋体" w:eastAsia="宋体" w:cs="宋体"/>
          <w:sz w:val="28"/>
          <w:szCs w:val="28"/>
        </w:rPr>
        <w:t>部门</w:t>
      </w:r>
      <w:r>
        <w:rPr>
          <w:rFonts w:hint="eastAsia" w:ascii="宋体" w:hAnsi="宋体" w:eastAsia="宋体" w:cs="宋体"/>
          <w:sz w:val="28"/>
          <w:szCs w:val="28"/>
          <w:lang w:eastAsia="zh-CN"/>
        </w:rPr>
        <w:t>收入、支出、结存</w:t>
      </w:r>
      <w:r>
        <w:rPr>
          <w:rFonts w:hint="eastAsia" w:ascii="宋体" w:hAnsi="宋体" w:eastAsia="宋体" w:cs="宋体"/>
          <w:sz w:val="28"/>
          <w:szCs w:val="28"/>
        </w:rPr>
        <w:t>情况</w:t>
      </w:r>
      <w:r>
        <w:rPr>
          <w:rFonts w:hint="eastAsia" w:ascii="宋体" w:hAnsi="宋体" w:eastAsia="宋体" w:cs="宋体"/>
          <w:sz w:val="28"/>
          <w:szCs w:val="28"/>
          <w:lang w:eastAsia="zh-CN"/>
        </w:rPr>
        <w:t>，决算报表、</w:t>
      </w:r>
      <w:r>
        <w:rPr>
          <w:rFonts w:hint="eastAsia" w:ascii="宋体" w:hAnsi="宋体" w:eastAsia="宋体" w:cs="宋体"/>
          <w:sz w:val="28"/>
          <w:szCs w:val="28"/>
        </w:rPr>
        <w:t>会计报表、明细帐、会计凭证</w:t>
      </w:r>
      <w:r>
        <w:rPr>
          <w:rFonts w:hint="eastAsia" w:ascii="宋体" w:hAnsi="宋体" w:eastAsia="宋体" w:cs="宋体"/>
          <w:sz w:val="28"/>
          <w:szCs w:val="28"/>
          <w:lang w:eastAsia="zh-CN"/>
        </w:rPr>
        <w:t>一致性。</w:t>
      </w:r>
      <w:r>
        <w:rPr>
          <w:rFonts w:hint="eastAsia" w:ascii="宋体" w:hAnsi="宋体" w:eastAsia="宋体" w:cs="宋体"/>
          <w:sz w:val="28"/>
          <w:szCs w:val="28"/>
          <w:lang w:val="en-US" w:eastAsia="zh-CN"/>
        </w:rPr>
        <w:t>重点核查了其他收入来源及合规性，</w:t>
      </w:r>
      <w:r>
        <w:rPr>
          <w:rFonts w:hint="eastAsia" w:ascii="宋体" w:hAnsi="宋体" w:eastAsia="宋体" w:cs="宋体"/>
          <w:color w:val="000000"/>
          <w:kern w:val="0"/>
          <w:sz w:val="28"/>
          <w:szCs w:val="28"/>
          <w:lang w:bidi="ar"/>
        </w:rPr>
        <w:t>商品和服务支出</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工资和福利支出、</w:t>
      </w:r>
      <w:r>
        <w:rPr>
          <w:rFonts w:hint="eastAsia" w:ascii="宋体" w:hAnsi="宋体" w:eastAsia="宋体" w:cs="宋体"/>
          <w:sz w:val="28"/>
          <w:szCs w:val="28"/>
        </w:rPr>
        <w:t>“三公”经费支出</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lang w:eastAsia="zh-CN" w:bidi="ar"/>
        </w:rPr>
        <w:t>项目</w:t>
      </w:r>
      <w:r>
        <w:rPr>
          <w:rFonts w:hint="eastAsia" w:ascii="宋体" w:hAnsi="宋体" w:eastAsia="宋体" w:cs="宋体"/>
          <w:color w:val="000000"/>
          <w:kern w:val="0"/>
          <w:sz w:val="28"/>
          <w:szCs w:val="28"/>
          <w:lang w:bidi="ar"/>
        </w:rPr>
        <w:t>支出</w:t>
      </w:r>
      <w:r>
        <w:rPr>
          <w:rFonts w:hint="eastAsia" w:ascii="宋体" w:hAnsi="宋体" w:eastAsia="宋体" w:cs="宋体"/>
          <w:sz w:val="28"/>
          <w:szCs w:val="28"/>
          <w:lang w:eastAsia="zh-CN"/>
        </w:rPr>
        <w:t>等</w:t>
      </w:r>
      <w:r>
        <w:rPr>
          <w:rFonts w:hint="eastAsia" w:ascii="宋体" w:hAnsi="宋体" w:eastAsia="宋体" w:cs="宋体"/>
          <w:sz w:val="28"/>
          <w:szCs w:val="28"/>
        </w:rPr>
        <w:t>支出</w:t>
      </w:r>
      <w:r>
        <w:rPr>
          <w:rFonts w:hint="eastAsia" w:ascii="宋体" w:hAnsi="宋体" w:eastAsia="宋体" w:cs="宋体"/>
          <w:sz w:val="28"/>
          <w:szCs w:val="28"/>
          <w:lang w:val="en-US" w:eastAsia="zh-CN"/>
        </w:rPr>
        <w:t>科目</w:t>
      </w:r>
      <w:r>
        <w:rPr>
          <w:rFonts w:hint="eastAsia" w:ascii="宋体" w:hAnsi="宋体" w:eastAsia="宋体" w:cs="宋体"/>
          <w:sz w:val="28"/>
          <w:szCs w:val="28"/>
          <w:lang w:eastAsia="zh-CN"/>
        </w:rPr>
        <w:t>内容的</w:t>
      </w:r>
      <w:r>
        <w:rPr>
          <w:rFonts w:hint="eastAsia" w:ascii="宋体" w:hAnsi="宋体" w:eastAsia="宋体" w:cs="宋体"/>
          <w:sz w:val="28"/>
          <w:szCs w:val="28"/>
          <w:lang w:val="en-US" w:eastAsia="zh-CN"/>
        </w:rPr>
        <w:t>规范性、准确性；</w:t>
      </w:r>
      <w:r>
        <w:rPr>
          <w:rFonts w:hint="eastAsia" w:ascii="宋体" w:hAnsi="宋体" w:eastAsia="宋体" w:cs="宋体"/>
          <w:sz w:val="28"/>
          <w:szCs w:val="28"/>
          <w:lang w:eastAsia="zh-CN"/>
        </w:rPr>
        <w:t>查看了区退役军人事务局制订的财务管理、</w:t>
      </w:r>
      <w:r>
        <w:rPr>
          <w:rFonts w:hint="eastAsia" w:ascii="宋体" w:hAnsi="宋体" w:eastAsia="宋体" w:cs="宋体"/>
          <w:sz w:val="28"/>
          <w:szCs w:val="28"/>
          <w:lang w:val="en-US" w:eastAsia="zh-CN"/>
        </w:rPr>
        <w:t>项目管理</w:t>
      </w:r>
      <w:r>
        <w:rPr>
          <w:rFonts w:hint="eastAsia" w:ascii="宋体" w:hAnsi="宋体" w:eastAsia="宋体" w:cs="宋体"/>
          <w:b w:val="0"/>
          <w:bCs w:val="0"/>
          <w:sz w:val="28"/>
          <w:szCs w:val="28"/>
          <w:lang w:val="en-US" w:eastAsia="zh-CN"/>
        </w:rPr>
        <w:t>等其他内部控制制度情况。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（2）对绩效目标完成情况进行了核查。核实2022年目标任务完</w:t>
      </w:r>
      <w:r>
        <w:rPr>
          <w:rFonts w:hint="eastAsia" w:ascii="宋体" w:hAnsi="宋体" w:eastAsia="宋体" w:cs="宋体"/>
          <w:sz w:val="28"/>
          <w:szCs w:val="28"/>
          <w:lang w:val="en-US" w:eastAsia="zh-CN"/>
        </w:rPr>
        <w:t>成情况、职责履行情况，并将绩效评价指标完成情况逐项进行核查。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（3）开展</w:t>
      </w:r>
      <w:r>
        <w:rPr>
          <w:rFonts w:hint="eastAsia" w:ascii="宋体" w:hAnsi="宋体" w:eastAsia="宋体" w:cs="宋体"/>
          <w:sz w:val="28"/>
          <w:szCs w:val="28"/>
          <w:lang w:eastAsia="zh-CN"/>
        </w:rPr>
        <w:t>了</w:t>
      </w:r>
      <w:r>
        <w:rPr>
          <w:rFonts w:hint="eastAsia" w:ascii="宋体" w:hAnsi="宋体" w:eastAsia="宋体" w:cs="宋体"/>
          <w:sz w:val="28"/>
          <w:szCs w:val="28"/>
          <w:lang w:val="en-US" w:eastAsia="zh-CN"/>
        </w:rPr>
        <w:t>问卷</w:t>
      </w:r>
      <w:r>
        <w:rPr>
          <w:rFonts w:hint="eastAsia" w:ascii="宋体" w:hAnsi="宋体" w:eastAsia="宋体" w:cs="宋体"/>
          <w:b w:val="0"/>
          <w:bCs w:val="0"/>
          <w:sz w:val="28"/>
          <w:szCs w:val="28"/>
          <w:lang w:val="en-US" w:eastAsia="zh-CN"/>
        </w:rPr>
        <w:t>调查。2023年11月8</w:t>
      </w:r>
      <w:r>
        <w:rPr>
          <w:rFonts w:hint="eastAsia" w:ascii="宋体" w:hAnsi="宋体" w:eastAsia="宋体" w:cs="宋体"/>
          <w:b w:val="0"/>
          <w:bCs w:val="0"/>
          <w:color w:val="auto"/>
          <w:sz w:val="28"/>
          <w:szCs w:val="28"/>
          <w:lang w:val="en-US" w:eastAsia="zh-CN"/>
        </w:rPr>
        <w:t>日，绩效评价人员</w:t>
      </w:r>
      <w:r>
        <w:rPr>
          <w:rFonts w:hint="eastAsia" w:ascii="宋体" w:hAnsi="宋体" w:eastAsia="宋体" w:cs="宋体"/>
          <w:sz w:val="28"/>
          <w:szCs w:val="28"/>
          <w:lang w:eastAsia="zh-CN"/>
        </w:rPr>
        <w:t>采取</w:t>
      </w:r>
      <w:r>
        <w:rPr>
          <w:rFonts w:hint="eastAsia" w:ascii="宋体" w:hAnsi="宋体" w:eastAsia="宋体" w:cs="宋体"/>
          <w:sz w:val="28"/>
          <w:szCs w:val="28"/>
          <w:lang w:val="en-US" w:eastAsia="zh-CN"/>
        </w:rPr>
        <w:t>电子答案卷（</w:t>
      </w:r>
      <w:r>
        <w:rPr>
          <w:rFonts w:hint="eastAsia" w:ascii="宋体" w:hAnsi="宋体" w:eastAsia="宋体" w:cs="宋体"/>
          <w:b w:val="0"/>
          <w:bCs w:val="0"/>
          <w:color w:val="auto"/>
          <w:sz w:val="28"/>
          <w:szCs w:val="28"/>
          <w:lang w:val="en-US" w:eastAsia="zh-CN"/>
        </w:rPr>
        <w:t>微信扫码答卷）及电话咨询的方式，对本区优抚对象进行了问卷调查。调查问卷共10题（</w:t>
      </w:r>
      <w:r>
        <w:rPr>
          <w:rFonts w:hint="eastAsia" w:ascii="宋体" w:hAnsi="宋体" w:eastAsia="宋体" w:cs="宋体"/>
          <w:b w:val="0"/>
          <w:bCs w:val="0"/>
          <w:sz w:val="28"/>
          <w:szCs w:val="28"/>
          <w:lang w:val="en-US" w:eastAsia="zh-CN"/>
        </w:rPr>
        <w:t>具体问卷内容见附件），</w:t>
      </w:r>
      <w:r>
        <w:rPr>
          <w:rFonts w:hint="eastAsia" w:ascii="宋体" w:hAnsi="宋体" w:eastAsia="宋体" w:cs="宋体"/>
          <w:b w:val="0"/>
          <w:bCs w:val="0"/>
          <w:color w:val="auto"/>
          <w:sz w:val="28"/>
          <w:szCs w:val="28"/>
          <w:lang w:val="en-US" w:eastAsia="zh-CN"/>
        </w:rPr>
        <w:t>主</w:t>
      </w:r>
      <w:r>
        <w:rPr>
          <w:rFonts w:hint="eastAsia" w:ascii="宋体" w:hAnsi="宋体" w:eastAsia="宋体" w:cs="宋体"/>
          <w:b w:val="0"/>
          <w:bCs w:val="0"/>
          <w:sz w:val="28"/>
          <w:szCs w:val="28"/>
          <w:lang w:val="en-US" w:eastAsia="zh-CN"/>
        </w:rPr>
        <w:t>要</w:t>
      </w:r>
      <w:r>
        <w:rPr>
          <w:rFonts w:hint="eastAsia" w:ascii="宋体" w:hAnsi="宋体" w:eastAsia="宋体" w:cs="宋体"/>
          <w:b w:val="0"/>
          <w:bCs w:val="0"/>
          <w:color w:val="auto"/>
          <w:sz w:val="28"/>
          <w:szCs w:val="28"/>
          <w:lang w:val="en-US" w:eastAsia="zh-CN"/>
        </w:rPr>
        <w:t>对退役军人优抚政策的宣传工作、举行的入伍退役军人送迎仪式、发放的退役军人补助及时性、春节期间的慰问工作、退役军人的安置工作、工作人员服务态度及办事效率、职业技能培训等方面进行</w:t>
      </w:r>
      <w:r>
        <w:rPr>
          <w:rFonts w:hint="eastAsia" w:ascii="宋体" w:hAnsi="宋体" w:eastAsia="宋体" w:cs="宋体"/>
          <w:b w:val="0"/>
          <w:bCs w:val="0"/>
          <w:sz w:val="28"/>
          <w:szCs w:val="28"/>
          <w:lang w:val="en-US" w:eastAsia="zh-CN"/>
        </w:rPr>
        <w:t>问卷调查。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eastAsia="zh-CN"/>
        </w:rPr>
        <w:t>调查问卷共发</w:t>
      </w:r>
      <w:r>
        <w:rPr>
          <w:rFonts w:hint="eastAsia" w:ascii="宋体" w:hAnsi="宋体" w:eastAsia="宋体" w:cs="宋体"/>
          <w:b w:val="0"/>
          <w:bCs w:val="0"/>
          <w:sz w:val="28"/>
          <w:szCs w:val="28"/>
          <w:lang w:val="en-US" w:eastAsia="zh-CN"/>
        </w:rPr>
        <w:t>放30份，回收率100%。</w:t>
      </w:r>
      <w:r>
        <w:rPr>
          <w:rFonts w:hint="eastAsia" w:ascii="宋体" w:hAnsi="宋体" w:eastAsia="宋体" w:cs="宋体"/>
          <w:b w:val="0"/>
          <w:bCs w:val="0"/>
          <w:color w:val="auto"/>
          <w:sz w:val="28"/>
          <w:szCs w:val="28"/>
          <w:lang w:val="en-US" w:eastAsia="zh-CN"/>
        </w:rPr>
        <w:t>根据问卷调查结果，平均</w:t>
      </w:r>
      <w:r>
        <w:rPr>
          <w:rFonts w:hint="eastAsia" w:ascii="宋体" w:hAnsi="宋体" w:eastAsia="宋体" w:cs="宋体"/>
          <w:b w:val="0"/>
          <w:bCs w:val="0"/>
          <w:sz w:val="28"/>
          <w:szCs w:val="28"/>
          <w:lang w:val="en-US" w:eastAsia="zh-CN"/>
        </w:rPr>
        <w:t>满意度达95</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sz w:val="28"/>
          <w:szCs w:val="28"/>
          <w:lang w:val="en-US" w:eastAsia="zh-CN"/>
        </w:rPr>
        <w:t>，满意度较高。</w:t>
      </w:r>
      <w:r>
        <w:rPr>
          <w:rFonts w:hint="eastAsia" w:ascii="宋体" w:hAnsi="宋体" w:eastAsia="宋体" w:cs="宋体"/>
          <w:b w:val="0"/>
          <w:bCs w:val="0"/>
          <w:sz w:val="28"/>
          <w:szCs w:val="28"/>
          <w:lang w:val="en-US" w:eastAsia="zh-CN"/>
        </w:rPr>
        <w:t>满意度较高的是：</w:t>
      </w:r>
      <w:r>
        <w:rPr>
          <w:rFonts w:hint="eastAsia" w:ascii="宋体" w:hAnsi="宋体" w:eastAsia="宋体" w:cs="宋体"/>
          <w:b w:val="0"/>
          <w:bCs w:val="0"/>
          <w:sz w:val="28"/>
          <w:szCs w:val="28"/>
          <w:lang w:val="en-US" w:eastAsia="zh-CN"/>
        </w:rPr>
        <w:t>对本区退役军人事务工作人员服务态度及办事效率</w:t>
      </w:r>
      <w:r>
        <w:rPr>
          <w:rFonts w:hint="eastAsia" w:ascii="宋体" w:hAnsi="宋体" w:eastAsia="宋体" w:cs="宋体"/>
          <w:b w:val="0"/>
          <w:bCs w:val="0"/>
          <w:sz w:val="28"/>
          <w:szCs w:val="28"/>
          <w:lang w:val="en-US" w:eastAsia="zh-CN"/>
        </w:rPr>
        <w:t>满意度较高</w:t>
      </w:r>
      <w:r>
        <w:rPr>
          <w:rFonts w:hint="eastAsia" w:ascii="宋体" w:hAnsi="宋体" w:eastAsia="宋体" w:cs="宋体"/>
          <w:b w:val="0"/>
          <w:bCs w:val="0"/>
          <w:sz w:val="28"/>
          <w:szCs w:val="28"/>
          <w:lang w:val="en-US" w:eastAsia="zh-CN"/>
        </w:rPr>
        <w:t>；满意度相对较低的是：发放补助及时性；部分2022年入伍义务兵家庭提出的建议是：希望优待金发放（2.8万元/年/人）明确具体发放时间，以便入伍义务兵家庭更好安排生活开支。。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val="0"/>
          <w:color w:val="auto"/>
          <w:sz w:val="28"/>
          <w:szCs w:val="28"/>
          <w:lang w:val="en-US" w:eastAsia="zh-CN"/>
        </w:rPr>
        <w:t>3.</w:t>
      </w:r>
      <w:r>
        <w:rPr>
          <w:rFonts w:hint="eastAsia" w:ascii="宋体" w:hAnsi="宋体" w:eastAsia="宋体" w:cs="宋体"/>
          <w:b/>
          <w:bCs w:val="0"/>
          <w:color w:val="auto"/>
          <w:sz w:val="28"/>
          <w:szCs w:val="28"/>
        </w:rPr>
        <w:t>分析评价：</w:t>
      </w:r>
      <w:r>
        <w:rPr>
          <w:rFonts w:hint="eastAsia" w:ascii="宋体" w:hAnsi="宋体" w:eastAsia="宋体" w:cs="宋体"/>
          <w:sz w:val="28"/>
          <w:szCs w:val="28"/>
        </w:rPr>
        <w:t>对评价过程中收集的财务</w:t>
      </w:r>
      <w:r>
        <w:rPr>
          <w:rFonts w:hint="eastAsia" w:ascii="宋体" w:hAnsi="宋体" w:eastAsia="宋体" w:cs="宋体"/>
          <w:sz w:val="28"/>
          <w:szCs w:val="28"/>
          <w:lang w:val="en-US" w:eastAsia="zh-CN"/>
        </w:rPr>
        <w:t>收支</w:t>
      </w:r>
      <w:r>
        <w:rPr>
          <w:rFonts w:hint="eastAsia" w:ascii="宋体" w:hAnsi="宋体" w:eastAsia="宋体" w:cs="宋体"/>
          <w:sz w:val="28"/>
          <w:szCs w:val="28"/>
        </w:rPr>
        <w:t>数据、内部制度、财政预算指标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考核考评资料、项目合同协议及支付</w:t>
      </w:r>
      <w:r>
        <w:rPr>
          <w:rFonts w:hint="eastAsia" w:ascii="宋体" w:hAnsi="宋体" w:eastAsia="宋体" w:cs="宋体"/>
          <w:sz w:val="28"/>
          <w:szCs w:val="28"/>
        </w:rPr>
        <w:t>等资料进行了归纳和汇总分析。依据设定的部门整体支出绩效评价指标体系，对</w:t>
      </w:r>
      <w:r>
        <w:rPr>
          <w:rFonts w:hint="eastAsia" w:ascii="宋体" w:hAnsi="宋体" w:eastAsia="宋体" w:cs="宋体"/>
          <w:sz w:val="28"/>
          <w:szCs w:val="28"/>
          <w:lang w:val="en-US" w:eastAsia="zh-CN"/>
        </w:rPr>
        <w:t>资金投入、过程运行、产出、绩效全过程进行评价，重点对目标设定、</w:t>
      </w:r>
      <w:r>
        <w:rPr>
          <w:rFonts w:hint="eastAsia" w:ascii="宋体" w:hAnsi="宋体" w:eastAsia="宋体" w:cs="宋体"/>
          <w:sz w:val="28"/>
          <w:szCs w:val="28"/>
        </w:rPr>
        <w:t>预算配置、预算执行、预算管理、资产管理、职责履行、履职效益等</w:t>
      </w:r>
      <w:r>
        <w:rPr>
          <w:rFonts w:hint="eastAsia" w:ascii="宋体" w:hAnsi="宋体" w:eastAsia="宋体" w:cs="宋体"/>
          <w:sz w:val="28"/>
          <w:szCs w:val="28"/>
          <w:lang w:val="en-US" w:eastAsia="zh-CN"/>
        </w:rPr>
        <w:t>指标</w:t>
      </w:r>
      <w:r>
        <w:rPr>
          <w:rFonts w:hint="eastAsia" w:ascii="宋体" w:hAnsi="宋体" w:eastAsia="宋体" w:cs="宋体"/>
          <w:sz w:val="28"/>
          <w:szCs w:val="28"/>
        </w:rPr>
        <w:t>情况进行了评分，制订了绩效评价评分表。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绩效评价报告</w:t>
      </w:r>
      <w:r>
        <w:rPr>
          <w:rFonts w:hint="eastAsia" w:ascii="宋体" w:hAnsi="宋体" w:eastAsia="宋体" w:cs="宋体"/>
          <w:b/>
          <w:bCs/>
          <w:sz w:val="28"/>
          <w:szCs w:val="28"/>
          <w:lang w:val="en-US" w:eastAsia="zh-CN"/>
        </w:rPr>
        <w:t>报送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绩效评价组</w:t>
      </w:r>
      <w:r>
        <w:rPr>
          <w:rFonts w:hint="eastAsia" w:ascii="宋体" w:hAnsi="宋体" w:eastAsia="宋体" w:cs="宋体"/>
          <w:sz w:val="28"/>
          <w:szCs w:val="28"/>
        </w:rPr>
        <w:t>制订了</w:t>
      </w:r>
      <w:r>
        <w:rPr>
          <w:rFonts w:hint="eastAsia" w:ascii="宋体" w:hAnsi="宋体" w:eastAsia="宋体" w:cs="宋体"/>
          <w:sz w:val="28"/>
          <w:szCs w:val="28"/>
          <w:lang w:val="en-US" w:eastAsia="zh-CN"/>
        </w:rPr>
        <w:t>现场评价工作</w:t>
      </w:r>
      <w:r>
        <w:rPr>
          <w:rFonts w:hint="eastAsia" w:ascii="宋体" w:hAnsi="宋体" w:eastAsia="宋体" w:cs="宋体"/>
          <w:sz w:val="28"/>
          <w:szCs w:val="28"/>
        </w:rPr>
        <w:t>底稿，</w:t>
      </w:r>
      <w:r>
        <w:rPr>
          <w:rFonts w:hint="eastAsia" w:ascii="宋体" w:hAnsi="宋体" w:eastAsia="宋体" w:cs="宋体"/>
          <w:sz w:val="28"/>
          <w:szCs w:val="28"/>
          <w:lang w:val="en-US" w:eastAsia="zh-CN"/>
        </w:rPr>
        <w:t>向被评价单位发送了《承诺书》《现场评价回执》</w:t>
      </w:r>
      <w:r>
        <w:rPr>
          <w:rFonts w:hint="eastAsia" w:ascii="宋体" w:hAnsi="宋体" w:eastAsia="宋体" w:cs="宋体"/>
          <w:b w:val="0"/>
          <w:bCs w:val="0"/>
          <w:sz w:val="28"/>
          <w:szCs w:val="28"/>
          <w:lang w:val="en-US" w:eastAsia="zh-CN"/>
        </w:rPr>
        <w:t>《</w:t>
      </w:r>
      <w:r>
        <w:rPr>
          <w:rFonts w:hint="eastAsia" w:ascii="宋体" w:hAnsi="宋体" w:eastAsia="宋体" w:cs="宋体"/>
          <w:sz w:val="28"/>
          <w:szCs w:val="28"/>
          <w:lang w:eastAsia="zh-CN"/>
        </w:rPr>
        <w:t>区退役军人事务局</w:t>
      </w:r>
      <w:r>
        <w:rPr>
          <w:rFonts w:hint="eastAsia" w:ascii="宋体" w:hAnsi="宋体" w:eastAsia="宋体" w:cs="宋体"/>
          <w:b w:val="0"/>
          <w:bCs w:val="0"/>
          <w:sz w:val="28"/>
          <w:szCs w:val="28"/>
          <w:lang w:val="en-US" w:eastAsia="zh-CN"/>
        </w:rPr>
        <w:t>2022年</w:t>
      </w:r>
      <w:r>
        <w:rPr>
          <w:rFonts w:hint="eastAsia" w:ascii="宋体" w:hAnsi="宋体" w:eastAsia="宋体" w:cs="宋体"/>
          <w:sz w:val="28"/>
          <w:szCs w:val="28"/>
        </w:rPr>
        <w:t>整体支出</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征求意见稿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通过对相关意见调查后修改后报区财政绩效股审核，经区财政局审核通过后，形成正式报告，即</w:t>
      </w:r>
      <w:r>
        <w:rPr>
          <w:rFonts w:hint="eastAsia" w:ascii="宋体" w:hAnsi="宋体" w:eastAsia="宋体" w:cs="宋体"/>
          <w:b w:val="0"/>
          <w:bCs w:val="0"/>
          <w:sz w:val="28"/>
          <w:szCs w:val="28"/>
          <w:lang w:val="en-US" w:eastAsia="zh-CN"/>
        </w:rPr>
        <w:t>《云溪</w:t>
      </w:r>
      <w:r>
        <w:rPr>
          <w:rFonts w:hint="eastAsia" w:ascii="宋体" w:hAnsi="宋体" w:eastAsia="宋体" w:cs="宋体"/>
          <w:sz w:val="28"/>
          <w:szCs w:val="28"/>
          <w:lang w:eastAsia="zh-CN"/>
        </w:rPr>
        <w:t>区退役军人事务局</w:t>
      </w:r>
      <w:r>
        <w:rPr>
          <w:rFonts w:hint="eastAsia" w:ascii="宋体" w:hAnsi="宋体" w:eastAsia="宋体" w:cs="宋体"/>
          <w:b w:val="0"/>
          <w:bCs w:val="0"/>
          <w:sz w:val="28"/>
          <w:szCs w:val="28"/>
          <w:lang w:val="en-US" w:eastAsia="zh-CN"/>
        </w:rPr>
        <w:t>2022年</w:t>
      </w:r>
      <w:r>
        <w:rPr>
          <w:rFonts w:hint="eastAsia" w:ascii="宋体" w:hAnsi="宋体" w:eastAsia="宋体" w:cs="宋体"/>
          <w:sz w:val="28"/>
          <w:szCs w:val="28"/>
        </w:rPr>
        <w:t>整体支出</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eastAsia="zh-CN"/>
        </w:rPr>
        <w:t>四</w:t>
      </w:r>
      <w:r>
        <w:rPr>
          <w:rFonts w:hint="eastAsia" w:ascii="宋体" w:hAnsi="宋体" w:cs="宋体"/>
          <w:b/>
          <w:bCs/>
          <w:sz w:val="32"/>
          <w:szCs w:val="32"/>
          <w:highlight w:val="none"/>
        </w:rPr>
        <w:t>、整体支出绩效</w:t>
      </w:r>
      <w:r>
        <w:rPr>
          <w:rFonts w:hint="eastAsia" w:ascii="宋体" w:hAnsi="宋体" w:cs="宋体"/>
          <w:b/>
          <w:bCs/>
          <w:sz w:val="32"/>
          <w:szCs w:val="32"/>
          <w:highlight w:val="none"/>
          <w:lang w:val="en-US" w:eastAsia="zh-CN"/>
        </w:rPr>
        <w:t>指标分析</w:t>
      </w:r>
    </w:p>
    <w:p>
      <w:pPr>
        <w:keepNext w:val="0"/>
        <w:keepLines w:val="0"/>
        <w:pageBreakBefore w:val="0"/>
        <w:kinsoku/>
        <w:wordWrap/>
        <w:overflowPunct/>
        <w:topLinePunct w:val="0"/>
        <w:autoSpaceDE/>
        <w:autoSpaceDN/>
        <w:bidi w:val="0"/>
        <w:adjustRightInd/>
        <w:snapToGrid/>
        <w:spacing w:line="540" w:lineRule="exact"/>
        <w:ind w:firstLine="420"/>
        <w:rPr>
          <w:rFonts w:hint="eastAsia"/>
          <w:sz w:val="28"/>
          <w:szCs w:val="28"/>
        </w:rPr>
      </w:pPr>
      <w:r>
        <w:rPr>
          <w:rFonts w:hint="eastAsia" w:ascii="宋体" w:hAnsi="宋体" w:cs="宋体"/>
          <w:kern w:val="0"/>
          <w:sz w:val="28"/>
          <w:szCs w:val="28"/>
          <w:lang w:val="en-US" w:eastAsia="zh-CN" w:bidi="ar"/>
        </w:rPr>
        <w:t>2022年，根据年初工作规划和重点工作，区退役军人事务局围绕区委、区政府的工作部署，积极履行职责，强化管理，较好地完成了年度工作目标任务。2022年度</w:t>
      </w:r>
      <w:r>
        <w:rPr>
          <w:rFonts w:hint="eastAsia"/>
          <w:sz w:val="28"/>
          <w:szCs w:val="28"/>
        </w:rPr>
        <w:t>部门整体支出绩效</w:t>
      </w:r>
      <w:r>
        <w:rPr>
          <w:rFonts w:hint="eastAsia"/>
          <w:sz w:val="28"/>
          <w:szCs w:val="28"/>
          <w:lang w:eastAsia="zh-CN"/>
        </w:rPr>
        <w:t>评价</w:t>
      </w:r>
      <w:r>
        <w:rPr>
          <w:rFonts w:hint="eastAsia"/>
          <w:sz w:val="28"/>
          <w:szCs w:val="28"/>
        </w:rPr>
        <w:t>情况如下：</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lang w:val="en-US" w:eastAsia="zh-CN"/>
        </w:rPr>
      </w:pPr>
      <w:r>
        <w:rPr>
          <w:rFonts w:hint="eastAsia" w:ascii="楷体_GB2312" w:hAnsi="Times New Roman" w:eastAsia="楷体_GB2312" w:cs="Times New Roman"/>
          <w:b/>
          <w:kern w:val="0"/>
          <w:sz w:val="32"/>
          <w:szCs w:val="32"/>
          <w:lang w:val="en-US" w:eastAsia="zh-CN"/>
        </w:rPr>
        <w:t>（一）资金投入方面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rPr>
          <w:rFonts w:hint="eastAsia"/>
          <w:b/>
          <w:bCs/>
          <w:sz w:val="28"/>
          <w:szCs w:val="28"/>
          <w:lang w:val="en-US" w:eastAsia="zh-CN"/>
        </w:rPr>
      </w:pPr>
      <w:r>
        <w:rPr>
          <w:rFonts w:hint="eastAsia"/>
          <w:b/>
          <w:bCs/>
          <w:sz w:val="28"/>
          <w:szCs w:val="28"/>
          <w:lang w:val="en-US" w:eastAsia="zh-CN"/>
        </w:rPr>
        <w:t>1.绩效目标设定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（1）绩效目标合理性</w:t>
      </w:r>
      <w:r>
        <w:rPr>
          <w:rFonts w:hint="eastAsia" w:ascii="宋体" w:hAnsi="宋体" w:eastAsia="宋体" w:cs="宋体"/>
          <w:b w:val="0"/>
          <w:bCs w:val="0"/>
          <w:color w:val="000000"/>
          <w:sz w:val="28"/>
          <w:szCs w:val="28"/>
          <w:highlight w:val="none"/>
          <w:lang w:val="en-US" w:eastAsia="zh-CN"/>
        </w:rPr>
        <w:t>。</w:t>
      </w:r>
      <w:r>
        <w:rPr>
          <w:rFonts w:hint="eastAsia" w:ascii="宋体" w:hAnsi="宋体" w:cs="宋体"/>
          <w:kern w:val="0"/>
          <w:sz w:val="28"/>
          <w:szCs w:val="28"/>
          <w:highlight w:val="none"/>
          <w:lang w:val="en-US" w:eastAsia="zh-CN" w:bidi="ar"/>
        </w:rPr>
        <w:t>区退役军人事务局</w:t>
      </w:r>
      <w:r>
        <w:rPr>
          <w:rFonts w:hint="eastAsia"/>
          <w:b w:val="0"/>
          <w:bCs w:val="0"/>
          <w:sz w:val="28"/>
          <w:szCs w:val="28"/>
          <w:highlight w:val="none"/>
          <w:lang w:val="en-US" w:eastAsia="zh-CN"/>
        </w:rPr>
        <w:t>预算公开及绩效自评设置绩效目标基本符合国家关于退役军</w:t>
      </w:r>
      <w:r>
        <w:rPr>
          <w:rFonts w:hint="eastAsia"/>
          <w:b w:val="0"/>
          <w:bCs w:val="0"/>
          <w:sz w:val="28"/>
          <w:szCs w:val="28"/>
          <w:lang w:val="en-US" w:eastAsia="zh-CN"/>
        </w:rPr>
        <w:t>人管理保障、安置优抚等工作政策法规，符合部门“三定”方案确定的职责。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w:t>
      </w:r>
      <w:r>
        <w:rPr>
          <w:rFonts w:hint="default" w:ascii="宋体" w:hAnsi="宋体" w:eastAsia="宋体" w:cs="宋体"/>
          <w:b w:val="0"/>
          <w:bCs w:val="0"/>
          <w:color w:val="000000"/>
          <w:sz w:val="28"/>
          <w:szCs w:val="28"/>
          <w:highlight w:val="none"/>
          <w:lang w:val="en-US" w:eastAsia="zh-CN"/>
        </w:rPr>
        <w:t>绩效指标明确性</w:t>
      </w:r>
      <w:r>
        <w:rPr>
          <w:rFonts w:hint="eastAsia" w:ascii="宋体" w:hAnsi="宋体" w:eastAsia="宋体" w:cs="宋体"/>
          <w:b w:val="0"/>
          <w:bCs w:val="0"/>
          <w:color w:val="000000"/>
          <w:sz w:val="28"/>
          <w:szCs w:val="28"/>
          <w:highlight w:val="none"/>
          <w:lang w:val="en-US" w:eastAsia="zh-CN"/>
        </w:rPr>
        <w:t>。</w:t>
      </w:r>
      <w:r>
        <w:rPr>
          <w:rFonts w:hint="eastAsia"/>
          <w:b w:val="0"/>
          <w:bCs w:val="0"/>
          <w:sz w:val="28"/>
          <w:szCs w:val="28"/>
          <w:lang w:val="en-US" w:eastAsia="zh-CN"/>
        </w:rPr>
        <w:t>区退役军人事务局按照相关要求完成了本单位2022年整体支出预算绩效自评，形成了</w:t>
      </w:r>
      <w:r>
        <w:rPr>
          <w:rFonts w:hint="eastAsia" w:ascii="宋体" w:hAnsi="宋体" w:eastAsia="宋体" w:cs="宋体"/>
          <w:b w:val="0"/>
          <w:bCs w:val="0"/>
          <w:sz w:val="28"/>
          <w:szCs w:val="28"/>
          <w:u w:val="none"/>
        </w:rPr>
        <w:t>20</w:t>
      </w:r>
      <w:r>
        <w:rPr>
          <w:rFonts w:hint="eastAsia" w:ascii="宋体" w:hAnsi="宋体" w:eastAsia="宋体" w:cs="宋体"/>
          <w:b w:val="0"/>
          <w:bCs w:val="0"/>
          <w:sz w:val="28"/>
          <w:szCs w:val="28"/>
          <w:u w:val="none"/>
          <w:lang w:val="en-US" w:eastAsia="zh-CN"/>
        </w:rPr>
        <w:t>22</w:t>
      </w:r>
      <w:r>
        <w:rPr>
          <w:rFonts w:hint="eastAsia" w:ascii="宋体" w:hAnsi="宋体" w:eastAsia="宋体" w:cs="宋体"/>
          <w:b w:val="0"/>
          <w:bCs w:val="0"/>
          <w:sz w:val="28"/>
          <w:szCs w:val="28"/>
        </w:rPr>
        <w:t>年度部门整体支出绩效评价自评报告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highlight w:val="none"/>
          <w:lang w:val="en-US" w:eastAsia="zh-CN"/>
        </w:rPr>
        <w:t>但存在自评绩效指标不具体、不明确的现象。</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宋体" w:hAnsi="宋体" w:cs="宋体"/>
          <w:sz w:val="28"/>
          <w:szCs w:val="28"/>
        </w:rPr>
      </w:pPr>
      <w:r>
        <w:rPr>
          <w:rFonts w:hint="eastAsia"/>
          <w:b/>
          <w:bCs/>
          <w:sz w:val="28"/>
          <w:szCs w:val="28"/>
          <w:lang w:val="en-US" w:eastAsia="zh-CN"/>
        </w:rPr>
        <w:t>2.</w:t>
      </w:r>
      <w:r>
        <w:rPr>
          <w:rFonts w:hint="eastAsia"/>
          <w:b/>
          <w:bCs/>
          <w:sz w:val="28"/>
          <w:szCs w:val="28"/>
        </w:rPr>
        <w:t>预算配置情况</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宋体" w:hAnsi="宋体" w:cs="宋体"/>
          <w:b/>
          <w:bCs/>
          <w:sz w:val="28"/>
          <w:szCs w:val="28"/>
        </w:rPr>
      </w:pPr>
      <w:r>
        <w:rPr>
          <w:rFonts w:hint="eastAsia" w:ascii="宋体" w:hAnsi="宋体" w:cs="宋体"/>
          <w:b/>
          <w:bCs/>
          <w:sz w:val="28"/>
          <w:szCs w:val="28"/>
          <w:lang w:val="en-US" w:eastAsia="zh-CN"/>
        </w:rPr>
        <w:t>（1）在职</w:t>
      </w:r>
      <w:r>
        <w:rPr>
          <w:rFonts w:hint="eastAsia" w:ascii="宋体" w:hAnsi="宋体" w:cs="宋体"/>
          <w:b/>
          <w:bCs/>
          <w:sz w:val="28"/>
          <w:szCs w:val="28"/>
        </w:rPr>
        <w:t>人员控制率</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cs="宋体"/>
          <w:sz w:val="28"/>
          <w:szCs w:val="28"/>
          <w:lang w:val="en-US" w:eastAsia="zh-CN"/>
        </w:rPr>
        <w:t>根据云溪区委机构编制委员会办公室印发《岳阳市云溪区退役军人事务局职能配置、内设机构和人员编制规定》文件，</w:t>
      </w:r>
      <w:r>
        <w:rPr>
          <w:rFonts w:hint="eastAsia" w:ascii="宋体" w:hAnsi="宋体" w:eastAsia="宋体" w:cs="宋体"/>
          <w:color w:val="auto"/>
          <w:kern w:val="2"/>
          <w:sz w:val="28"/>
          <w:szCs w:val="28"/>
          <w:highlight w:val="none"/>
          <w:lang w:val="en-US" w:eastAsia="zh-CN" w:bidi="ar-SA"/>
        </w:rPr>
        <w:t>区退役军人事务局机关（局机关）行政编制5名、所属事业单位事业编制8名。机关后勤服务实行社会化管理。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560" w:firstLineChars="200"/>
        <w:textAlignment w:val="auto"/>
        <w:outlineLvl w:val="9"/>
        <w:rPr>
          <w:rFonts w:hint="default"/>
          <w:color w:val="auto"/>
          <w:sz w:val="28"/>
          <w:szCs w:val="28"/>
          <w:lang w:val="en-US" w:eastAsia="zh-CN"/>
        </w:rPr>
      </w:pPr>
      <w:r>
        <w:rPr>
          <w:rFonts w:hint="eastAsia" w:ascii="宋体" w:hAnsi="宋体" w:eastAsia="宋体" w:cs="宋体"/>
          <w:color w:val="auto"/>
          <w:kern w:val="2"/>
          <w:sz w:val="28"/>
          <w:szCs w:val="28"/>
          <w:highlight w:val="none"/>
          <w:lang w:val="en-US" w:eastAsia="zh-CN" w:bidi="ar-SA"/>
        </w:rPr>
        <w:t>2022年末，局机关实有在职人数13人，行政编制4名；财政全额拨款事业编制8名，三类人员1名。2022年区财政供养人数为13名，总体在职人数控制在编制规定的范围内。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kern w:val="0"/>
          <w:sz w:val="28"/>
          <w:szCs w:val="28"/>
          <w:lang w:eastAsia="zh-CN" w:bidi="ar"/>
        </w:rPr>
      </w:pPr>
      <w:r>
        <w:rPr>
          <w:rFonts w:hint="eastAsia" w:ascii="宋体" w:hAnsi="宋体" w:cs="宋体"/>
          <w:b/>
          <w:bCs/>
          <w:kern w:val="0"/>
          <w:sz w:val="28"/>
          <w:szCs w:val="28"/>
          <w:lang w:eastAsia="zh-CN" w:bidi="ar"/>
        </w:rPr>
        <w:t>（</w:t>
      </w:r>
      <w:r>
        <w:rPr>
          <w:rFonts w:hint="eastAsia" w:ascii="宋体" w:hAnsi="宋体" w:cs="宋体"/>
          <w:b/>
          <w:bCs/>
          <w:kern w:val="0"/>
          <w:sz w:val="28"/>
          <w:szCs w:val="28"/>
          <w:lang w:val="en-US" w:eastAsia="zh-CN" w:bidi="ar"/>
        </w:rPr>
        <w:t>2）</w:t>
      </w:r>
      <w:r>
        <w:rPr>
          <w:rFonts w:hint="eastAsia" w:ascii="宋体" w:hAnsi="宋体" w:cs="宋体"/>
          <w:b/>
          <w:bCs/>
          <w:kern w:val="0"/>
          <w:sz w:val="28"/>
          <w:szCs w:val="28"/>
          <w:lang w:eastAsia="zh-CN" w:bidi="ar"/>
        </w:rPr>
        <w:t>“三公”经费</w:t>
      </w:r>
      <w:r>
        <w:rPr>
          <w:rFonts w:hint="eastAsia" w:ascii="宋体" w:hAnsi="宋体" w:cs="宋体"/>
          <w:b/>
          <w:bCs/>
          <w:kern w:val="0"/>
          <w:sz w:val="28"/>
          <w:szCs w:val="28"/>
          <w:lang w:val="en-US" w:eastAsia="zh-CN" w:bidi="ar"/>
        </w:rPr>
        <w:t>管理</w:t>
      </w:r>
      <w:r>
        <w:rPr>
          <w:rFonts w:hint="eastAsia" w:ascii="宋体" w:hAnsi="宋体" w:cs="宋体"/>
          <w:b/>
          <w:bCs/>
          <w:kern w:val="0"/>
          <w:sz w:val="28"/>
          <w:szCs w:val="28"/>
          <w:lang w:eastAsia="zh-CN" w:bidi="ar"/>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（1）2022年三公经费支出情况。2022年三公经费支出</w:t>
      </w:r>
      <w:r>
        <w:rPr>
          <w:rFonts w:hint="eastAsia" w:ascii="宋体" w:hAnsi="宋体" w:cs="宋体"/>
          <w:kern w:val="0"/>
          <w:sz w:val="28"/>
          <w:szCs w:val="28"/>
          <w:lang w:val="en-US" w:eastAsia="zh-CN" w:bidi="ar"/>
        </w:rPr>
        <w:t>1.23万元，其中公务接待费1.23万元，</w:t>
      </w:r>
      <w:r>
        <w:rPr>
          <w:rFonts w:hint="eastAsia" w:ascii="宋体" w:hAnsi="宋体" w:eastAsia="宋体" w:cs="宋体"/>
          <w:kern w:val="0"/>
          <w:sz w:val="28"/>
          <w:szCs w:val="28"/>
          <w:lang w:val="en-US" w:eastAsia="zh-CN" w:bidi="ar"/>
        </w:rPr>
        <w:t>因公出国(境)、公务用车购置及运行支出为0。</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三公经费变动率。2022</w:t>
      </w:r>
      <w:r>
        <w:rPr>
          <w:rFonts w:hint="eastAsia" w:ascii="宋体" w:hAnsi="宋体" w:cs="宋体"/>
          <w:kern w:val="0"/>
          <w:sz w:val="28"/>
          <w:szCs w:val="28"/>
          <w:lang w:val="en-US" w:eastAsia="zh-CN" w:bidi="ar"/>
        </w:rPr>
        <w:t>年度三公经费支出1.23万元，2021年支出1.44万元；2022年比2021年减少0.21万元，变动率≤0。</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kern w:val="0"/>
          <w:sz w:val="28"/>
          <w:szCs w:val="28"/>
          <w:lang w:eastAsia="zh-CN"/>
        </w:rPr>
      </w:pPr>
      <w:r>
        <w:rPr>
          <w:rFonts w:hint="eastAsia" w:ascii="宋体" w:hAnsi="宋体" w:cs="宋体"/>
          <w:kern w:val="0"/>
          <w:sz w:val="28"/>
          <w:szCs w:val="28"/>
          <w:lang w:val="en-US" w:eastAsia="zh-CN" w:bidi="ar"/>
        </w:rPr>
        <w:t>三公经费控制率。</w:t>
      </w:r>
      <w:r>
        <w:rPr>
          <w:rFonts w:hint="eastAsia" w:ascii="宋体" w:hAnsi="宋体" w:cs="宋体"/>
          <w:kern w:val="0"/>
          <w:sz w:val="28"/>
          <w:szCs w:val="28"/>
          <w:lang w:eastAsia="zh-CN" w:bidi="ar"/>
        </w:rPr>
        <w:t>20</w:t>
      </w:r>
      <w:r>
        <w:rPr>
          <w:rFonts w:hint="eastAsia" w:ascii="宋体" w:hAnsi="宋体" w:cs="宋体"/>
          <w:kern w:val="0"/>
          <w:sz w:val="28"/>
          <w:szCs w:val="28"/>
          <w:lang w:val="en-US" w:eastAsia="zh-CN" w:bidi="ar"/>
        </w:rPr>
        <w:t>22</w:t>
      </w:r>
      <w:r>
        <w:rPr>
          <w:rFonts w:hint="eastAsia" w:ascii="宋体" w:hAnsi="宋体" w:cs="宋体"/>
          <w:kern w:val="0"/>
          <w:sz w:val="28"/>
          <w:szCs w:val="28"/>
          <w:lang w:eastAsia="zh-CN" w:bidi="ar"/>
        </w:rPr>
        <w:t>年“三公经费”</w:t>
      </w:r>
      <w:r>
        <w:rPr>
          <w:rFonts w:hint="eastAsia" w:ascii="宋体" w:hAnsi="宋体" w:cs="宋体"/>
          <w:kern w:val="0"/>
          <w:sz w:val="28"/>
          <w:szCs w:val="28"/>
          <w:lang w:val="en-US" w:eastAsia="zh-CN" w:bidi="ar"/>
        </w:rPr>
        <w:t>预算为0.2万元，</w:t>
      </w:r>
      <w:r>
        <w:rPr>
          <w:rFonts w:hint="eastAsia" w:ascii="宋体" w:hAnsi="宋体" w:cs="宋体"/>
          <w:kern w:val="0"/>
          <w:sz w:val="28"/>
          <w:szCs w:val="28"/>
          <w:lang w:val="en-US" w:eastAsia="zh-CN" w:bidi="ar"/>
        </w:rPr>
        <w:t>主要是公务招待费用预算。</w:t>
      </w:r>
      <w:r>
        <w:rPr>
          <w:rFonts w:hint="eastAsia" w:ascii="宋体" w:hAnsi="宋体" w:cs="宋体"/>
          <w:kern w:val="0"/>
          <w:sz w:val="28"/>
          <w:szCs w:val="28"/>
          <w:lang w:eastAsia="zh-CN" w:bidi="ar"/>
        </w:rPr>
        <w:t>实际</w:t>
      </w:r>
      <w:r>
        <w:rPr>
          <w:rFonts w:hint="eastAsia" w:ascii="宋体" w:hAnsi="宋体" w:cs="宋体"/>
          <w:kern w:val="0"/>
          <w:sz w:val="28"/>
          <w:szCs w:val="28"/>
          <w:lang w:val="en-US" w:eastAsia="zh-CN" w:bidi="ar"/>
        </w:rPr>
        <w:t>公务招待费</w:t>
      </w:r>
      <w:r>
        <w:rPr>
          <w:rFonts w:hint="eastAsia" w:ascii="宋体" w:hAnsi="宋体" w:cs="宋体"/>
          <w:kern w:val="0"/>
          <w:sz w:val="28"/>
          <w:szCs w:val="28"/>
          <w:lang w:eastAsia="zh-CN" w:bidi="ar"/>
        </w:rPr>
        <w:t>支出</w:t>
      </w:r>
      <w:r>
        <w:rPr>
          <w:rFonts w:hint="eastAsia" w:ascii="宋体" w:hAnsi="宋体" w:cs="宋体"/>
          <w:kern w:val="0"/>
          <w:sz w:val="28"/>
          <w:szCs w:val="28"/>
          <w:lang w:val="en-US" w:eastAsia="zh-CN" w:bidi="ar"/>
        </w:rPr>
        <w:t>1.23</w:t>
      </w:r>
      <w:r>
        <w:rPr>
          <w:rFonts w:hint="eastAsia" w:ascii="宋体" w:hAnsi="宋体" w:cs="宋体"/>
          <w:kern w:val="0"/>
          <w:sz w:val="28"/>
          <w:szCs w:val="28"/>
          <w:lang w:eastAsia="zh-CN" w:bidi="ar"/>
        </w:rPr>
        <w:t>万元，</w:t>
      </w:r>
      <w:r>
        <w:rPr>
          <w:rFonts w:hint="eastAsia" w:ascii="宋体" w:hAnsi="宋体" w:cs="宋体"/>
          <w:kern w:val="0"/>
          <w:sz w:val="28"/>
          <w:szCs w:val="28"/>
          <w:lang w:val="en-US" w:eastAsia="zh-CN" w:bidi="ar"/>
        </w:rPr>
        <w:t>超出预算安排计划0.2万元，</w:t>
      </w:r>
      <w:r>
        <w:rPr>
          <w:rFonts w:hint="eastAsia" w:ascii="宋体" w:hAnsi="宋体" w:cs="宋体"/>
          <w:bCs/>
          <w:kern w:val="0"/>
          <w:sz w:val="28"/>
          <w:szCs w:val="28"/>
          <w:lang w:bidi="ar"/>
        </w:rPr>
        <w:t>“三公经费”控制</w:t>
      </w:r>
      <w:r>
        <w:rPr>
          <w:rFonts w:hint="eastAsia" w:ascii="宋体" w:hAnsi="宋体" w:cs="宋体"/>
          <w:bCs/>
          <w:kern w:val="0"/>
          <w:sz w:val="28"/>
          <w:szCs w:val="28"/>
          <w:lang w:val="en-US" w:eastAsia="zh-CN" w:bidi="ar"/>
        </w:rPr>
        <w:t>差。</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center"/>
        <w:rPr>
          <w:rFonts w:hint="eastAsia" w:ascii="宋体" w:hAnsi="宋体" w:cs="宋体"/>
          <w:b/>
          <w:bCs/>
          <w:kern w:val="0"/>
          <w:sz w:val="28"/>
          <w:szCs w:val="28"/>
          <w:highlight w:val="none"/>
          <w:lang w:bidi="ar"/>
        </w:rPr>
      </w:pPr>
      <w:r>
        <w:rPr>
          <w:rFonts w:hint="eastAsia" w:ascii="宋体" w:hAnsi="宋体" w:cs="宋体"/>
          <w:b/>
          <w:bCs/>
          <w:kern w:val="0"/>
          <w:sz w:val="28"/>
          <w:szCs w:val="28"/>
          <w:highlight w:val="none"/>
          <w:lang w:val="en-US" w:eastAsia="zh-CN" w:bidi="ar"/>
        </w:rPr>
        <w:t>（3）</w:t>
      </w:r>
      <w:r>
        <w:rPr>
          <w:rFonts w:hint="eastAsia" w:ascii="宋体" w:hAnsi="宋体" w:cs="宋体"/>
          <w:b/>
          <w:bCs/>
          <w:kern w:val="0"/>
          <w:sz w:val="28"/>
          <w:szCs w:val="28"/>
          <w:highlight w:val="none"/>
          <w:lang w:bidi="ar"/>
        </w:rPr>
        <w:t>重点支出安排</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center"/>
        <w:rPr>
          <w:rFonts w:hint="eastAsia" w:ascii="宋体" w:hAnsi="宋体" w:cs="宋体"/>
          <w:kern w:val="0"/>
          <w:sz w:val="28"/>
          <w:szCs w:val="28"/>
          <w:lang w:eastAsia="zh-CN" w:bidi="ar"/>
        </w:rPr>
      </w:pPr>
      <w:r>
        <w:rPr>
          <w:rFonts w:hint="eastAsia" w:ascii="宋体" w:hAnsi="宋体" w:cs="宋体"/>
          <w:kern w:val="0"/>
          <w:sz w:val="28"/>
          <w:szCs w:val="28"/>
          <w:lang w:val="en-US" w:eastAsia="zh-CN" w:bidi="ar"/>
        </w:rPr>
        <w:t>区</w:t>
      </w:r>
      <w:r>
        <w:rPr>
          <w:rFonts w:hint="eastAsia" w:ascii="宋体" w:hAnsi="宋体" w:cs="宋体"/>
          <w:kern w:val="0"/>
          <w:sz w:val="28"/>
          <w:szCs w:val="28"/>
          <w:lang w:bidi="ar"/>
        </w:rPr>
        <w:t>财政</w:t>
      </w:r>
      <w:r>
        <w:rPr>
          <w:rFonts w:hint="eastAsia" w:ascii="宋体" w:hAnsi="宋体" w:cs="宋体"/>
          <w:kern w:val="0"/>
          <w:sz w:val="28"/>
          <w:szCs w:val="28"/>
          <w:lang w:val="en-US" w:eastAsia="zh-CN" w:bidi="ar"/>
        </w:rPr>
        <w:t>已拨付</w:t>
      </w:r>
      <w:r>
        <w:rPr>
          <w:rFonts w:hint="eastAsia" w:ascii="宋体" w:hAnsi="宋体" w:cs="宋体"/>
          <w:kern w:val="0"/>
          <w:sz w:val="28"/>
          <w:szCs w:val="28"/>
          <w:lang w:bidi="ar"/>
        </w:rPr>
        <w:t>专项经费</w:t>
      </w:r>
      <w:r>
        <w:rPr>
          <w:rFonts w:hint="eastAsia" w:ascii="宋体" w:hAnsi="宋体" w:cs="宋体"/>
          <w:kern w:val="0"/>
          <w:sz w:val="28"/>
          <w:szCs w:val="28"/>
          <w:lang w:val="en-US" w:eastAsia="zh-CN" w:bidi="ar"/>
        </w:rPr>
        <w:t>预算2,323.51</w:t>
      </w:r>
      <w:r>
        <w:rPr>
          <w:rFonts w:hint="eastAsia" w:ascii="宋体" w:hAnsi="宋体" w:cs="宋体"/>
          <w:kern w:val="0"/>
          <w:sz w:val="28"/>
          <w:szCs w:val="28"/>
          <w:lang w:bidi="ar"/>
        </w:rPr>
        <w:t>万元</w:t>
      </w:r>
      <w:r>
        <w:rPr>
          <w:rFonts w:hint="eastAsia" w:ascii="宋体" w:hAnsi="宋体" w:cs="宋体"/>
          <w:kern w:val="0"/>
          <w:sz w:val="28"/>
          <w:szCs w:val="28"/>
          <w:lang w:eastAsia="zh-CN" w:bidi="ar"/>
        </w:rPr>
        <w:t>，</w:t>
      </w:r>
      <w:r>
        <w:rPr>
          <w:rFonts w:hint="eastAsia" w:ascii="宋体" w:hAnsi="宋体" w:cs="宋体"/>
          <w:kern w:val="0"/>
          <w:sz w:val="28"/>
          <w:szCs w:val="28"/>
          <w:lang w:val="en-US" w:eastAsia="zh-CN" w:bidi="ar"/>
        </w:rPr>
        <w:t>占总预算(2484.14万元）93.53%,主要用于优抚抚恤经费支出、退役安置经费支出、军队离退休干部安置经费支出、企业退休军转干部生活补助、基层退役军人服务体系运行补助支出等</w:t>
      </w:r>
      <w:r>
        <w:rPr>
          <w:rFonts w:hint="eastAsia" w:ascii="宋体" w:hAnsi="宋体" w:cs="宋体"/>
          <w:color w:val="auto"/>
          <w:kern w:val="0"/>
          <w:sz w:val="28"/>
          <w:szCs w:val="28"/>
          <w:lang w:eastAsia="zh-CN" w:bidi="ar"/>
        </w:rPr>
        <w:t>。</w:t>
      </w:r>
    </w:p>
    <w:p>
      <w:pPr>
        <w:widowControl/>
        <w:shd w:val="clear" w:color="auto" w:fill="FFFFFF"/>
        <w:spacing w:line="660" w:lineRule="exact"/>
        <w:ind w:firstLine="643" w:firstLineChars="200"/>
        <w:rPr>
          <w:rFonts w:hint="default" w:ascii="楷体_GB2312" w:hAnsi="Times New Roman" w:eastAsia="楷体_GB2312" w:cs="Times New Roman"/>
          <w:b/>
          <w:kern w:val="0"/>
          <w:sz w:val="32"/>
          <w:szCs w:val="32"/>
          <w:lang w:val="en-US" w:eastAsia="zh-CN"/>
        </w:rPr>
      </w:pPr>
      <w:r>
        <w:rPr>
          <w:rFonts w:hint="eastAsia" w:ascii="楷体_GB2312" w:hAnsi="Times New Roman" w:eastAsia="楷体_GB2312" w:cs="Times New Roman"/>
          <w:b/>
          <w:kern w:val="0"/>
          <w:sz w:val="32"/>
          <w:szCs w:val="32"/>
          <w:lang w:eastAsia="zh-CN"/>
        </w:rPr>
        <w:t>（</w:t>
      </w:r>
      <w:r>
        <w:rPr>
          <w:rFonts w:hint="eastAsia" w:ascii="楷体_GB2312" w:hAnsi="Times New Roman" w:eastAsia="楷体_GB2312" w:cs="Times New Roman"/>
          <w:b/>
          <w:kern w:val="0"/>
          <w:sz w:val="32"/>
          <w:szCs w:val="32"/>
          <w:lang w:val="en-US" w:eastAsia="zh-CN"/>
        </w:rPr>
        <w:t>二）过程管理方面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（1）预算执行率：2022年度共计预算安排（原始指标金额）2,600.98万元，预算总支出</w:t>
      </w:r>
      <w:r>
        <w:rPr>
          <w:rFonts w:hint="eastAsia" w:ascii="宋体" w:hAnsi="宋体" w:eastAsia="宋体" w:cs="宋体"/>
          <w:kern w:val="0"/>
          <w:sz w:val="28"/>
          <w:szCs w:val="28"/>
          <w:lang w:val="en-US" w:eastAsia="zh-CN" w:bidi="ar"/>
        </w:rPr>
        <w:t>2,484.14万元</w:t>
      </w:r>
      <w:r>
        <w:rPr>
          <w:rFonts w:hint="eastAsia" w:ascii="宋体" w:hAnsi="宋体" w:eastAsia="宋体" w:cs="宋体"/>
          <w:sz w:val="28"/>
          <w:szCs w:val="28"/>
          <w:lang w:val="en-US" w:eastAsia="zh-CN"/>
        </w:rPr>
        <w:t>。预算执行率95.50%,预算执行率较高。</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（2）预算调整率：</w:t>
      </w:r>
      <w:r>
        <w:rPr>
          <w:rFonts w:hint="eastAsia" w:ascii="宋体" w:hAnsi="宋体" w:eastAsia="宋体" w:cs="宋体"/>
          <w:color w:val="auto"/>
          <w:sz w:val="28"/>
          <w:szCs w:val="28"/>
          <w:lang w:val="en-US" w:eastAsia="zh-CN"/>
        </w:rPr>
        <w:t>年初批复指标161.38万元，</w:t>
      </w:r>
      <w:r>
        <w:rPr>
          <w:rFonts w:hint="eastAsia" w:ascii="宋体" w:hAnsi="宋体" w:eastAsia="宋体" w:cs="宋体"/>
          <w:sz w:val="28"/>
          <w:szCs w:val="28"/>
          <w:lang w:val="en-US" w:eastAsia="zh-CN"/>
        </w:rPr>
        <w:t>均为基本支出预算；</w:t>
      </w:r>
      <w:r>
        <w:rPr>
          <w:rFonts w:hint="eastAsia" w:ascii="宋体" w:hAnsi="宋体" w:eastAsia="宋体" w:cs="宋体"/>
          <w:color w:val="auto"/>
          <w:sz w:val="28"/>
          <w:szCs w:val="28"/>
          <w:lang w:val="en-US" w:eastAsia="zh-CN"/>
        </w:rPr>
        <w:t>追加当年指标2,010.43万元，预算调整大。原因：</w:t>
      </w:r>
      <w:r>
        <w:rPr>
          <w:rFonts w:hint="eastAsia" w:ascii="宋体" w:hAnsi="宋体" w:eastAsia="宋体" w:cs="宋体"/>
          <w:sz w:val="28"/>
          <w:szCs w:val="28"/>
          <w:lang w:val="en-US" w:eastAsia="zh-CN"/>
        </w:rPr>
        <w:t>因区财政局在对区退役军人事务局年初预算安排时仅对基本支出进行安排，项目（专项）经费预算按实际情况进行追加预算。</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kern w:val="0"/>
          <w:sz w:val="28"/>
          <w:szCs w:val="28"/>
          <w:lang w:val="en-US" w:eastAsia="zh-CN" w:bidi="ar"/>
        </w:rPr>
      </w:pPr>
      <w:r>
        <w:rPr>
          <w:rFonts w:hint="eastAsia" w:ascii="宋体" w:hAnsi="宋体" w:eastAsia="宋体" w:cs="宋体"/>
          <w:sz w:val="28"/>
          <w:szCs w:val="28"/>
          <w:lang w:val="en-US" w:eastAsia="zh-CN"/>
        </w:rPr>
        <w:t>（3）支付率：预算资金拨付到帐2,484.89万元，总支出</w:t>
      </w:r>
      <w:r>
        <w:rPr>
          <w:rFonts w:hint="eastAsia" w:ascii="宋体" w:hAnsi="宋体" w:eastAsia="宋体" w:cs="宋体"/>
          <w:kern w:val="0"/>
          <w:sz w:val="28"/>
          <w:szCs w:val="28"/>
          <w:lang w:val="en-US" w:eastAsia="zh-CN" w:bidi="ar"/>
        </w:rPr>
        <w:t>2,484.14万元,支付率99.97%。</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highlight w:val="none"/>
          <w:lang w:val="en-US" w:eastAsia="zh-CN" w:bidi="ar"/>
        </w:rPr>
        <w:t>（4）结转结余率：当年结</w:t>
      </w:r>
      <w:r>
        <w:rPr>
          <w:rFonts w:hint="eastAsia" w:ascii="宋体" w:hAnsi="宋体" w:eastAsia="宋体" w:cs="宋体"/>
          <w:kern w:val="0"/>
          <w:sz w:val="28"/>
          <w:szCs w:val="28"/>
          <w:lang w:val="en-US" w:eastAsia="zh-CN" w:bidi="ar"/>
        </w:rPr>
        <w:t>转结余0元。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highlight w:val="none"/>
          <w:lang w:val="en-US" w:eastAsia="zh-CN" w:bidi="ar"/>
        </w:rPr>
        <w:t>（5）结转结余变动率：</w:t>
      </w:r>
      <w:r>
        <w:rPr>
          <w:rFonts w:hint="eastAsia" w:ascii="宋体" w:hAnsi="宋体" w:eastAsia="宋体" w:cs="宋体"/>
          <w:kern w:val="0"/>
          <w:sz w:val="28"/>
          <w:szCs w:val="28"/>
          <w:lang w:val="en-US" w:eastAsia="zh-CN" w:bidi="ar"/>
        </w:rPr>
        <w:t>累计结转结余0万元。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highlight w:val="none"/>
          <w:lang w:val="en-US" w:eastAsia="zh-CN" w:bidi="ar"/>
        </w:rPr>
        <w:t>（6）公用经费控制率：公</w:t>
      </w:r>
      <w:r>
        <w:rPr>
          <w:rFonts w:hint="eastAsia" w:ascii="宋体" w:hAnsi="宋体" w:eastAsia="宋体" w:cs="宋体"/>
          <w:kern w:val="0"/>
          <w:sz w:val="28"/>
          <w:szCs w:val="28"/>
          <w:lang w:val="en-US" w:eastAsia="zh-CN" w:bidi="ar"/>
        </w:rPr>
        <w:t>用经费支出总额54.44万元，预算安排公用经费总额 54.95万元，节余0.51万元，公用经费控制较好。</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（7）政府采购执行率:烈士纪念建筑物管理维修、军队离退休干部休养所建设、军休楼活动室维修改造项目及宣传资料广告、宣传等均按要求通过政府采购。</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2、预算管理情况</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宋体" w:hAnsi="宋体" w:eastAsia="宋体" w:cs="宋体"/>
          <w:b w:val="0"/>
          <w:bCs w:val="0"/>
          <w:sz w:val="28"/>
          <w:szCs w:val="28"/>
          <w:highlight w:val="yellow"/>
          <w:lang w:val="en-US" w:eastAsia="zh-CN"/>
        </w:rPr>
      </w:pPr>
      <w:r>
        <w:rPr>
          <w:rFonts w:hint="eastAsia" w:ascii="宋体" w:hAnsi="宋体" w:eastAsia="宋体" w:cs="宋体"/>
          <w:b w:val="0"/>
          <w:bCs w:val="0"/>
          <w:sz w:val="28"/>
          <w:szCs w:val="28"/>
          <w:highlight w:val="none"/>
          <w:lang w:val="en-US" w:eastAsia="zh-CN"/>
        </w:rPr>
        <w:t>（1）管理制度的健全性：区退役军人事务局执行区预算管理制度，制订《内部审计管理制度》，但未制订</w:t>
      </w:r>
      <w:r>
        <w:rPr>
          <w:rFonts w:hint="eastAsia" w:ascii="宋体" w:hAnsi="宋体" w:eastAsia="宋体" w:cs="宋体"/>
          <w:b w:val="0"/>
          <w:bCs w:val="0"/>
          <w:sz w:val="28"/>
          <w:szCs w:val="28"/>
          <w:highlight w:val="none"/>
          <w:lang w:val="en-US" w:eastAsia="zh-CN"/>
        </w:rPr>
        <w:t>区退役军人事务局</w:t>
      </w:r>
      <w:r>
        <w:rPr>
          <w:rFonts w:hint="eastAsia" w:ascii="宋体" w:hAnsi="宋体" w:eastAsia="宋体" w:cs="宋体"/>
          <w:b w:val="0"/>
          <w:bCs w:val="0"/>
          <w:sz w:val="28"/>
          <w:szCs w:val="28"/>
          <w:highlight w:val="none"/>
          <w:lang w:val="en-US" w:eastAsia="zh-CN"/>
        </w:rPr>
        <w:t>专项资金管理办法。</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b w:val="0"/>
          <w:bCs w:val="0"/>
          <w:color w:val="auto"/>
          <w:sz w:val="28"/>
          <w:szCs w:val="28"/>
          <w:highlight w:val="none"/>
          <w:lang w:val="en-US" w:eastAsia="zh-CN"/>
        </w:rPr>
        <w:t>（2）预算资金使用合规性</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kern w:val="0"/>
          <w:sz w:val="28"/>
          <w:szCs w:val="28"/>
          <w:highlight w:val="none"/>
          <w:lang w:eastAsia="zh-CN"/>
        </w:rPr>
        <w:t>区退役军人事务局大部分预算资金使用合理、合规；但</w:t>
      </w:r>
      <w:r>
        <w:rPr>
          <w:rFonts w:hint="eastAsia" w:ascii="宋体" w:hAnsi="宋体" w:eastAsia="宋体" w:cs="宋体"/>
          <w:sz w:val="28"/>
          <w:szCs w:val="28"/>
          <w:lang w:val="en-US" w:eastAsia="zh-CN"/>
        </w:rPr>
        <w:t>存在超预算等现象。</w:t>
      </w:r>
      <w:r>
        <w:rPr>
          <w:rFonts w:hint="eastAsia" w:ascii="宋体" w:hAnsi="宋体" w:eastAsia="宋体" w:cs="宋体"/>
          <w:kern w:val="0"/>
          <w:sz w:val="28"/>
          <w:szCs w:val="28"/>
          <w:lang w:val="en-US" w:eastAsia="zh-CN"/>
        </w:rPr>
        <w:t>具体见本报告“存在问题”方面。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（3）基础信息完善性：会计报表及财务信息资料完整、准确、真实。</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（4）预决算信息公开性：</w:t>
      </w:r>
      <w:r>
        <w:rPr>
          <w:rFonts w:hint="eastAsia" w:ascii="宋体" w:hAnsi="宋体" w:eastAsia="宋体" w:cs="宋体"/>
          <w:kern w:val="0"/>
          <w:sz w:val="28"/>
          <w:szCs w:val="28"/>
          <w:lang w:val="en-US" w:eastAsia="zh-CN" w:bidi="ar"/>
        </w:rPr>
        <w:t>查询岳阳市云溪区人民政府网页，2021年12月23日、</w:t>
      </w:r>
      <w:r>
        <w:rPr>
          <w:rFonts w:hint="eastAsia" w:ascii="宋体" w:hAnsi="宋体" w:eastAsia="宋体" w:cs="宋体"/>
          <w:b w:val="0"/>
          <w:bCs w:val="0"/>
          <w:sz w:val="28"/>
          <w:szCs w:val="28"/>
          <w:highlight w:val="none"/>
          <w:lang w:val="en-US" w:eastAsia="zh-CN"/>
        </w:rPr>
        <w:t>2023年9月15日、2023年8月22日</w:t>
      </w:r>
      <w:r>
        <w:rPr>
          <w:rFonts w:hint="eastAsia" w:ascii="宋体" w:hAnsi="宋体" w:eastAsia="宋体" w:cs="宋体"/>
          <w:kern w:val="0"/>
          <w:sz w:val="28"/>
          <w:szCs w:val="28"/>
          <w:lang w:val="en-US" w:eastAsia="zh-CN" w:bidi="ar"/>
        </w:rPr>
        <w:t>区退役军人事务局在</w:t>
      </w:r>
      <w:r>
        <w:rPr>
          <w:rFonts w:hint="eastAsia" w:ascii="宋体" w:hAnsi="宋体" w:eastAsia="宋体" w:cs="宋体"/>
          <w:b w:val="0"/>
          <w:bCs w:val="0"/>
          <w:sz w:val="28"/>
          <w:szCs w:val="28"/>
          <w:highlight w:val="none"/>
          <w:lang w:val="en-US" w:eastAsia="zh-CN"/>
        </w:rPr>
        <w:t>云溪区门户</w:t>
      </w:r>
      <w:r>
        <w:rPr>
          <w:rFonts w:hint="eastAsia" w:ascii="宋体" w:hAnsi="宋体" w:eastAsia="宋体" w:cs="宋体"/>
          <w:kern w:val="0"/>
          <w:sz w:val="28"/>
          <w:szCs w:val="28"/>
          <w:lang w:val="en-US" w:eastAsia="zh-CN" w:bidi="ar"/>
        </w:rPr>
        <w:t>网站分别公开了《</w:t>
      </w:r>
      <w:r>
        <w:rPr>
          <w:rFonts w:hint="eastAsia" w:ascii="宋体" w:hAnsi="宋体" w:eastAsia="宋体" w:cs="宋体"/>
          <w:b w:val="0"/>
          <w:bCs w:val="0"/>
          <w:sz w:val="28"/>
          <w:szCs w:val="28"/>
          <w:highlight w:val="none"/>
          <w:lang w:val="en-US" w:eastAsia="zh-CN"/>
        </w:rPr>
        <w:t>岳阳市云溪区退役军人事务局</w:t>
      </w:r>
      <w:r>
        <w:rPr>
          <w:rFonts w:hint="eastAsia" w:ascii="宋体" w:hAnsi="宋体" w:eastAsia="宋体" w:cs="宋体"/>
          <w:kern w:val="0"/>
          <w:sz w:val="28"/>
          <w:szCs w:val="28"/>
          <w:lang w:val="en-US" w:eastAsia="zh-CN" w:bidi="ar"/>
        </w:rPr>
        <w:t>2022</w:t>
      </w:r>
      <w:r>
        <w:rPr>
          <w:rFonts w:hint="eastAsia" w:ascii="宋体" w:hAnsi="宋体" w:eastAsia="宋体" w:cs="宋体"/>
          <w:b w:val="0"/>
          <w:bCs w:val="0"/>
          <w:sz w:val="28"/>
          <w:szCs w:val="28"/>
          <w:highlight w:val="none"/>
          <w:lang w:val="en-US" w:eastAsia="zh-CN"/>
        </w:rPr>
        <w:t>部门预算》《岳阳市云溪区退役军人事务局</w:t>
      </w:r>
      <w:r>
        <w:rPr>
          <w:rFonts w:hint="eastAsia" w:ascii="宋体" w:hAnsi="宋体" w:eastAsia="宋体" w:cs="宋体"/>
          <w:kern w:val="0"/>
          <w:sz w:val="28"/>
          <w:szCs w:val="28"/>
          <w:lang w:val="en-US" w:eastAsia="zh-CN" w:bidi="ar"/>
        </w:rPr>
        <w:t>2022</w:t>
      </w:r>
      <w:r>
        <w:rPr>
          <w:rFonts w:hint="eastAsia" w:ascii="宋体" w:hAnsi="宋体" w:eastAsia="宋体" w:cs="宋体"/>
          <w:b w:val="0"/>
          <w:bCs w:val="0"/>
          <w:sz w:val="28"/>
          <w:szCs w:val="28"/>
          <w:highlight w:val="none"/>
          <w:lang w:val="en-US" w:eastAsia="zh-CN"/>
        </w:rPr>
        <w:t>部门决算》</w:t>
      </w:r>
      <w:r>
        <w:rPr>
          <w:rFonts w:hint="eastAsia" w:ascii="宋体" w:hAnsi="宋体" w:eastAsia="宋体" w:cs="宋体"/>
          <w:sz w:val="28"/>
          <w:szCs w:val="28"/>
          <w:highlight w:val="none"/>
          <w:lang w:val="en-US" w:eastAsia="zh-CN"/>
        </w:rPr>
        <w:t>信息及</w:t>
      </w:r>
      <w:r>
        <w:rPr>
          <w:rFonts w:hint="eastAsia" w:ascii="宋体" w:hAnsi="宋体" w:eastAsia="宋体" w:cs="宋体"/>
          <w:b w:val="0"/>
          <w:bCs w:val="0"/>
          <w:sz w:val="28"/>
          <w:szCs w:val="28"/>
          <w:highlight w:val="none"/>
          <w:lang w:val="en-US" w:eastAsia="zh-CN"/>
        </w:rPr>
        <w:t>《区退役军人事务局2022年整体支出绩效评价自评报告》。主动接受社会监督，提高</w:t>
      </w:r>
      <w:r>
        <w:rPr>
          <w:rFonts w:hint="eastAsia" w:ascii="宋体" w:hAnsi="宋体" w:eastAsia="宋体" w:cs="宋体"/>
          <w:sz w:val="28"/>
          <w:szCs w:val="28"/>
          <w:highlight w:val="none"/>
          <w:lang w:val="en-US" w:eastAsia="zh-CN"/>
        </w:rPr>
        <w:t>本单位预、决算信息的透明度。</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3.资产管理</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至2022年末，固定资产原值123.49万元，累计计提拆旧10.66万元，净值112.83万元。2022年新增固定资产102.56万元，包括：军休楼活动室装修工程28.7万元，通用设备共计59.07万元（军队离退休干部活动场地密集架费用9.78万元、军队离退休干部活动场地监控道闸13.3万元、付军队离退休干部活动场地电子屏、会议系统35.17万元、电脑设备0.82万元），军队离退休干部活动场地通用家具14.78万元。</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在用固定资产总额</w:t>
      </w:r>
      <w:r>
        <w:rPr>
          <w:rFonts w:hint="eastAsia" w:ascii="宋体" w:hAnsi="宋体" w:eastAsia="宋体" w:cs="宋体"/>
          <w:color w:val="auto"/>
          <w:kern w:val="0"/>
          <w:sz w:val="28"/>
          <w:szCs w:val="28"/>
          <w:highlight w:val="none"/>
          <w:lang w:val="en-US" w:eastAsia="zh-CN" w:bidi="ar"/>
        </w:rPr>
        <w:t>112.83万元</w:t>
      </w:r>
      <w:r>
        <w:rPr>
          <w:rFonts w:hint="eastAsia" w:ascii="宋体" w:hAnsi="宋体" w:eastAsia="宋体" w:cs="宋体"/>
          <w:b w:val="0"/>
          <w:bCs w:val="0"/>
          <w:color w:val="auto"/>
          <w:sz w:val="28"/>
          <w:szCs w:val="28"/>
          <w:highlight w:val="none"/>
          <w:lang w:val="en-US" w:eastAsia="zh-CN"/>
        </w:rPr>
        <w:t>，固定资产利用率100%。固定资产管理按照区财政管理要求执行，未制订与固定资产管理相关管理办法。</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lang w:val="en-US" w:eastAsia="zh-CN"/>
        </w:rPr>
      </w:pPr>
      <w:r>
        <w:rPr>
          <w:rFonts w:hint="eastAsia" w:ascii="楷体_GB2312" w:hAnsi="Times New Roman" w:eastAsia="楷体_GB2312" w:cs="Times New Roman"/>
          <w:b/>
          <w:kern w:val="0"/>
          <w:sz w:val="32"/>
          <w:szCs w:val="32"/>
          <w:lang w:val="en-US" w:eastAsia="zh-CN"/>
        </w:rPr>
        <w:t>（三）产出指标完成情况及效果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1.产出数量目标完成情况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（1）重点工作履行方面</w:t>
      </w:r>
      <w:r>
        <w:rPr>
          <w:rFonts w:hint="eastAsia" w:ascii="宋体" w:hAnsi="宋体" w:eastAsia="宋体" w:cs="宋体"/>
          <w:b w:val="0"/>
          <w:bCs w:val="0"/>
          <w:color w:val="auto"/>
          <w:kern w:val="2"/>
          <w:sz w:val="28"/>
          <w:szCs w:val="28"/>
          <w:highlight w:val="none"/>
          <w:lang w:val="en-US" w:eastAsia="zh-CN" w:bidi="ar-SA"/>
        </w:rPr>
        <w:t>。根据中共岳阳市委退役军人事务工作领导小组办公室《关于2022年2022年县（市）区退役军人事务工作考核情况的函》及云溪区委区政府《关于2022年县（市）区退役军人事务工作考核情况的函》，2022年区退役军人事务局分别评定市级“区类先进单位”、云溪区“综合绩效考核工作先进单位”。考核结果说明区退役军人事务局在服务保障体系建设、移交安置、军休服务管理、就业创业方面、拥军优抚方面等方面任务完成情况较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（2）部门目标实现情况</w:t>
      </w:r>
      <w:r>
        <w:rPr>
          <w:rFonts w:hint="eastAsia" w:ascii="宋体" w:hAnsi="宋体" w:eastAsia="宋体" w:cs="宋体"/>
          <w:b w:val="0"/>
          <w:bCs w:val="0"/>
          <w:color w:val="auto"/>
          <w:kern w:val="2"/>
          <w:sz w:val="28"/>
          <w:szCs w:val="28"/>
          <w:highlight w:val="none"/>
          <w:lang w:val="en-US" w:eastAsia="zh-CN" w:bidi="ar-SA"/>
        </w:rPr>
        <w:t>。</w:t>
      </w:r>
      <w:r>
        <w:rPr>
          <w:rFonts w:hint="eastAsia" w:ascii="宋体" w:hAnsi="宋体" w:eastAsia="宋体" w:cs="宋体"/>
          <w:b/>
          <w:bCs/>
          <w:color w:val="auto"/>
          <w:kern w:val="2"/>
          <w:sz w:val="28"/>
          <w:szCs w:val="28"/>
          <w:highlight w:val="none"/>
          <w:lang w:val="en-US" w:eastAsia="zh-CN" w:bidi="ar-SA"/>
        </w:rPr>
        <w:t>一是</w:t>
      </w:r>
      <w:r>
        <w:rPr>
          <w:rFonts w:hint="eastAsia" w:ascii="宋体" w:hAnsi="宋体" w:eastAsia="宋体" w:cs="宋体"/>
          <w:b w:val="0"/>
          <w:bCs w:val="0"/>
          <w:color w:val="auto"/>
          <w:kern w:val="2"/>
          <w:sz w:val="28"/>
          <w:szCs w:val="28"/>
          <w:highlight w:val="none"/>
          <w:lang w:val="en-US" w:eastAsia="zh-CN" w:bidi="ar-SA"/>
        </w:rPr>
        <w:t>完成退役军人事务系统2022年争资争项目标任务1,406.94万元,完成目标任务（1,300.00万元）108.23%;二</w:t>
      </w:r>
      <w:r>
        <w:rPr>
          <w:rFonts w:hint="eastAsia" w:ascii="宋体" w:hAnsi="宋体" w:eastAsia="宋体" w:cs="宋体"/>
          <w:b/>
          <w:bCs/>
          <w:color w:val="auto"/>
          <w:kern w:val="2"/>
          <w:sz w:val="28"/>
          <w:szCs w:val="28"/>
          <w:highlight w:val="none"/>
          <w:lang w:val="en-US" w:eastAsia="zh-CN" w:bidi="ar-SA"/>
        </w:rPr>
        <w:t>是</w:t>
      </w:r>
      <w:r>
        <w:rPr>
          <w:rFonts w:hint="eastAsia" w:ascii="宋体" w:hAnsi="宋体" w:eastAsia="宋体" w:cs="宋体"/>
          <w:b w:val="0"/>
          <w:bCs w:val="0"/>
          <w:color w:val="auto"/>
          <w:kern w:val="2"/>
          <w:sz w:val="28"/>
          <w:szCs w:val="28"/>
          <w:highlight w:val="none"/>
          <w:lang w:val="en-US" w:eastAsia="zh-CN" w:bidi="ar-SA"/>
        </w:rPr>
        <w:t>离退休干部活动场地建设工程已完成；</w:t>
      </w:r>
      <w:r>
        <w:rPr>
          <w:rFonts w:hint="eastAsia" w:ascii="宋体" w:hAnsi="宋体" w:eastAsia="宋体" w:cs="宋体"/>
          <w:b/>
          <w:bCs/>
          <w:color w:val="auto"/>
          <w:kern w:val="2"/>
          <w:sz w:val="28"/>
          <w:szCs w:val="28"/>
          <w:highlight w:val="none"/>
          <w:lang w:val="en-US" w:eastAsia="zh-CN" w:bidi="ar-SA"/>
        </w:rPr>
        <w:t>三是</w:t>
      </w:r>
      <w:r>
        <w:rPr>
          <w:rFonts w:hint="eastAsia" w:ascii="宋体" w:hAnsi="宋体" w:eastAsia="宋体" w:cs="宋体"/>
          <w:b w:val="0"/>
          <w:bCs w:val="0"/>
          <w:color w:val="auto"/>
          <w:kern w:val="2"/>
          <w:sz w:val="28"/>
          <w:szCs w:val="28"/>
          <w:highlight w:val="none"/>
          <w:lang w:val="en-US" w:eastAsia="zh-CN" w:bidi="ar-SA"/>
        </w:rPr>
        <w:t>区退役军人事务局选派业务骨干参与岳阳市退役军人事务业务培训，组织对本局及基层管理人员的业务培训；</w:t>
      </w:r>
      <w:r>
        <w:rPr>
          <w:rFonts w:hint="eastAsia" w:ascii="宋体" w:hAnsi="宋体" w:eastAsia="宋体" w:cs="宋体"/>
          <w:b/>
          <w:bCs/>
          <w:color w:val="auto"/>
          <w:kern w:val="2"/>
          <w:sz w:val="28"/>
          <w:szCs w:val="28"/>
          <w:highlight w:val="none"/>
          <w:lang w:val="en-US" w:eastAsia="zh-CN" w:bidi="ar-SA"/>
        </w:rPr>
        <w:t>四是</w:t>
      </w:r>
      <w:r>
        <w:rPr>
          <w:rFonts w:hint="eastAsia" w:ascii="宋体" w:hAnsi="宋体" w:eastAsia="宋体" w:cs="宋体"/>
          <w:b w:val="0"/>
          <w:bCs w:val="0"/>
          <w:color w:val="auto"/>
          <w:kern w:val="2"/>
          <w:sz w:val="28"/>
          <w:szCs w:val="28"/>
          <w:highlight w:val="none"/>
          <w:lang w:val="en-US" w:eastAsia="zh-CN" w:bidi="ar-SA"/>
        </w:rPr>
        <w:t>区退役军人事务工作领导小组对照《2022年云溪区</w:t>
      </w:r>
      <w:r>
        <w:rPr>
          <w:rFonts w:hint="eastAsia" w:ascii="宋体" w:hAnsi="宋体" w:eastAsia="宋体" w:cs="宋体"/>
          <w:b w:val="0"/>
          <w:bCs w:val="0"/>
          <w:color w:val="auto"/>
          <w:kern w:val="2"/>
          <w:sz w:val="28"/>
          <w:szCs w:val="28"/>
          <w:highlight w:val="none"/>
          <w:lang w:val="en-US" w:eastAsia="zh-CN" w:bidi="ar-SA"/>
        </w:rPr>
        <w:t>退役军人事务工作考评细则》</w:t>
      </w:r>
      <w:r>
        <w:rPr>
          <w:rFonts w:hint="eastAsia" w:ascii="宋体" w:hAnsi="宋体" w:eastAsia="宋体" w:cs="宋体"/>
          <w:b w:val="0"/>
          <w:bCs w:val="0"/>
          <w:color w:val="auto"/>
          <w:kern w:val="2"/>
          <w:sz w:val="28"/>
          <w:szCs w:val="28"/>
          <w:highlight w:val="none"/>
          <w:lang w:val="en-US" w:eastAsia="zh-CN" w:bidi="ar-SA"/>
        </w:rPr>
        <w:t>，对镇（街道）退役军人服务站进行了综合考评，出具考评情况报告；</w:t>
      </w:r>
      <w:r>
        <w:rPr>
          <w:rFonts w:hint="eastAsia" w:ascii="宋体" w:hAnsi="宋体" w:eastAsia="宋体" w:cs="宋体"/>
          <w:b/>
          <w:bCs/>
          <w:color w:val="auto"/>
          <w:kern w:val="2"/>
          <w:sz w:val="28"/>
          <w:szCs w:val="28"/>
          <w:highlight w:val="none"/>
          <w:lang w:val="en-US" w:eastAsia="zh-CN" w:bidi="ar-SA"/>
        </w:rPr>
        <w:t>五是</w:t>
      </w:r>
      <w:r>
        <w:rPr>
          <w:rFonts w:hint="eastAsia" w:ascii="宋体" w:hAnsi="宋体" w:eastAsia="宋体" w:cs="宋体"/>
          <w:b w:val="0"/>
          <w:bCs w:val="0"/>
          <w:color w:val="auto"/>
          <w:kern w:val="2"/>
          <w:sz w:val="28"/>
          <w:szCs w:val="28"/>
          <w:highlight w:val="none"/>
          <w:lang w:val="en-US" w:eastAsia="zh-CN" w:bidi="ar-SA"/>
        </w:rPr>
        <w:t>局相关财务审计部门对区退役军人服务站、光荣院资金支出情况进行检查，出具检查报告；并进行回头看整改，但存在个别问题未及时整改到位；</w:t>
      </w:r>
      <w:r>
        <w:rPr>
          <w:rFonts w:hint="eastAsia" w:ascii="宋体" w:hAnsi="宋体" w:eastAsia="宋体" w:cs="宋体"/>
          <w:b/>
          <w:bCs/>
          <w:color w:val="auto"/>
          <w:kern w:val="2"/>
          <w:sz w:val="28"/>
          <w:szCs w:val="28"/>
          <w:highlight w:val="none"/>
          <w:lang w:val="en-US" w:eastAsia="zh-CN" w:bidi="ar-SA"/>
        </w:rPr>
        <w:t>六是</w:t>
      </w:r>
      <w:r>
        <w:rPr>
          <w:rFonts w:hint="eastAsia" w:ascii="宋体" w:hAnsi="宋体" w:eastAsia="宋体" w:cs="宋体"/>
          <w:b w:val="0"/>
          <w:bCs w:val="0"/>
          <w:color w:val="auto"/>
          <w:kern w:val="2"/>
          <w:sz w:val="28"/>
          <w:szCs w:val="28"/>
          <w:highlight w:val="none"/>
          <w:lang w:val="en-US" w:eastAsia="zh-CN" w:bidi="ar-SA"/>
        </w:rPr>
        <w:t>区审计局对区退役军人事务局2022年度财政预算执行情况进行审计，提出了“擅自改变预算支出用途”问题，区退役军人事务局提供了《2022年区财政预算执行延伸审计取证情况说明》。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2.产出质量完成情况：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（1）村（社区）级服务站示范站建设和云溪街道退役军人服务站标杆站的创建市级验收合格率100%。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（2）本区退役军人信访回满意度</w:t>
      </w:r>
      <w:r>
        <w:rPr>
          <w:rFonts w:hint="eastAsia" w:ascii="宋体" w:hAnsi="宋体" w:eastAsia="宋体" w:cs="宋体"/>
          <w:b w:val="0"/>
          <w:bCs w:val="0"/>
          <w:color w:val="auto"/>
          <w:sz w:val="28"/>
          <w:szCs w:val="28"/>
          <w:highlight w:val="none"/>
          <w:lang w:val="en-US" w:eastAsia="zh-CN"/>
        </w:rPr>
        <w:t>复达</w:t>
      </w:r>
      <w:r>
        <w:rPr>
          <w:rFonts w:hint="eastAsia" w:ascii="宋体" w:hAnsi="宋体" w:eastAsia="宋体" w:cs="宋体"/>
          <w:b w:val="0"/>
          <w:bCs w:val="0"/>
          <w:color w:val="auto"/>
          <w:sz w:val="28"/>
          <w:szCs w:val="28"/>
          <w:highlight w:val="none"/>
          <w:lang w:val="en-US" w:eastAsia="zh-CN"/>
        </w:rPr>
        <w:t>95%以上。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2022年未发生重大负面维稳事件、重大负面舆情。</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市、区退役军人事务工作综合考评、综合绩效考核分别获得：“区类先进单位”“综合绩效考核工作先进单位”。</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发放各项优抚对象抚恤补助资金符合相关标准，无差错。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3.产出时效完成情况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（1）2022年12月31日前基本完成了全年主要工作任务，</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优抚对象抚恤补助金基本按规定时间发放，但存在部分补助发放不及时的现象。</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项目建设工程未按合同时间进行竣工验收。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4.产出成本完成情况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总支出控制在总预算范围内。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5.履职效益及群众满意度</w:t>
      </w:r>
      <w:r>
        <w:rPr>
          <w:rFonts w:hint="eastAsia" w:ascii="宋体" w:hAnsi="宋体" w:eastAsia="宋体" w:cs="宋体"/>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color w:val="000000"/>
          <w:sz w:val="28"/>
          <w:szCs w:val="28"/>
          <w:lang w:val="en-US" w:eastAsia="zh-CN"/>
        </w:rPr>
        <w:t>社会效益、履职效能、持续性影响见本报告中主要绩效及存在问题。</w:t>
      </w:r>
      <w:r>
        <w:rPr>
          <w:rFonts w:hint="eastAsia" w:ascii="宋体" w:hAnsi="宋体" w:eastAsia="宋体" w:cs="宋体"/>
          <w:b w:val="0"/>
          <w:bCs w:val="0"/>
          <w:color w:val="000000"/>
          <w:sz w:val="28"/>
          <w:szCs w:val="28"/>
          <w:lang w:val="en-US" w:eastAsia="zh-CN"/>
        </w:rPr>
        <w:t>群众满意度风本报告</w:t>
      </w:r>
      <w:r>
        <w:rPr>
          <w:rFonts w:hint="eastAsia" w:ascii="宋体" w:hAnsi="宋体" w:eastAsia="宋体" w:cs="宋体"/>
          <w:color w:val="000000"/>
          <w:sz w:val="28"/>
          <w:szCs w:val="28"/>
          <w:lang w:val="en-US" w:eastAsia="zh-CN"/>
        </w:rPr>
        <w:t>问卷调查结果。</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Calibri" w:hAnsi="宋体" w:cs="宋体"/>
          <w:b/>
          <w:bCs/>
          <w:sz w:val="32"/>
          <w:szCs w:val="32"/>
          <w:highlight w:val="none"/>
        </w:rPr>
      </w:pPr>
      <w:r>
        <w:rPr>
          <w:rFonts w:hint="eastAsia" w:ascii="Calibri" w:hAnsi="宋体" w:cs="宋体"/>
          <w:b/>
          <w:bCs/>
          <w:sz w:val="32"/>
          <w:szCs w:val="32"/>
          <w:lang w:val="en-US" w:eastAsia="zh-CN"/>
        </w:rPr>
        <w:t>五</w:t>
      </w:r>
      <w:r>
        <w:rPr>
          <w:rFonts w:hint="eastAsia" w:ascii="Calibri" w:hAnsi="宋体" w:cs="宋体"/>
          <w:b/>
          <w:bCs/>
          <w:sz w:val="32"/>
          <w:szCs w:val="32"/>
        </w:rPr>
        <w:t>、</w:t>
      </w:r>
      <w:r>
        <w:rPr>
          <w:rFonts w:hint="eastAsia" w:ascii="Calibri" w:hAnsi="宋体" w:cs="宋体"/>
          <w:b/>
          <w:bCs/>
          <w:sz w:val="32"/>
          <w:szCs w:val="32"/>
          <w:highlight w:val="none"/>
        </w:rPr>
        <w:t>主要绩效和评价结论</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lang w:eastAsia="zh-CN"/>
        </w:rPr>
        <w:t>（一）</w:t>
      </w:r>
      <w:r>
        <w:rPr>
          <w:rFonts w:hint="eastAsia" w:ascii="楷体_GB2312" w:hAnsi="Times New Roman" w:eastAsia="楷体_GB2312" w:cs="Times New Roman"/>
          <w:b/>
          <w:kern w:val="0"/>
          <w:sz w:val="32"/>
          <w:szCs w:val="32"/>
        </w:rPr>
        <w:t>评价结论</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Calibri" w:hAnsi="宋体" w:cs="宋体"/>
          <w:b/>
          <w:bCs/>
          <w:color w:val="auto"/>
          <w:sz w:val="28"/>
          <w:szCs w:val="28"/>
          <w:highlight w:val="none"/>
          <w:lang w:val="en-US" w:eastAsia="zh-CN"/>
        </w:rPr>
        <w:t xml:space="preserve">   </w:t>
      </w:r>
      <w:r>
        <w:rPr>
          <w:rFonts w:hint="eastAsia" w:ascii="Calibri"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eastAsia="zh-CN"/>
        </w:rPr>
        <w:t>经绩效评价小组评定，得分80分，等级为“良好”其中：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1、投入  总分12分 该项目得分11分    扣1分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2、过程  总分28分 该项目得分20分    扣8分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3、产出  总分30分 该项目得分23分    扣7分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4、效果  总分30分 该项目得分26分    扣4分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具体见《区退役军人事务局2022年度整体支出绩效评价评分表》（附件2）</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lang w:eastAsia="zh-CN"/>
        </w:rPr>
        <w:t>（</w:t>
      </w:r>
      <w:r>
        <w:rPr>
          <w:rFonts w:hint="eastAsia" w:ascii="楷体_GB2312" w:hAnsi="Times New Roman" w:eastAsia="楷体_GB2312" w:cs="Times New Roman"/>
          <w:b/>
          <w:kern w:val="0"/>
          <w:sz w:val="32"/>
          <w:szCs w:val="32"/>
          <w:lang w:val="en-US" w:eastAsia="zh-CN"/>
        </w:rPr>
        <w:t>二）</w:t>
      </w:r>
      <w:r>
        <w:rPr>
          <w:rFonts w:hint="eastAsia" w:ascii="楷体_GB2312" w:hAnsi="Times New Roman" w:eastAsia="楷体_GB2312" w:cs="Times New Roman"/>
          <w:b/>
          <w:kern w:val="0"/>
          <w:sz w:val="32"/>
          <w:szCs w:val="32"/>
        </w:rPr>
        <w:t>项目主要绩效分析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1.把准政治方向，维护</w:t>
      </w:r>
      <w:r>
        <w:rPr>
          <w:rFonts w:hint="eastAsia" w:eastAsia="宋体" w:cs="宋体"/>
          <w:b/>
          <w:bCs/>
          <w:kern w:val="2"/>
          <w:sz w:val="28"/>
          <w:szCs w:val="28"/>
          <w:highlight w:val="none"/>
          <w:lang w:val="en-US" w:eastAsia="zh-CN" w:bidi="ar-SA"/>
        </w:rPr>
        <w:t>了</w:t>
      </w:r>
      <w:r>
        <w:rPr>
          <w:rFonts w:hint="eastAsia" w:ascii="宋体" w:hAnsi="宋体" w:eastAsia="宋体" w:cs="宋体"/>
          <w:b/>
          <w:bCs/>
          <w:kern w:val="2"/>
          <w:sz w:val="28"/>
          <w:szCs w:val="28"/>
          <w:highlight w:val="none"/>
          <w:lang w:val="en-US" w:eastAsia="zh-CN" w:bidi="ar-SA"/>
        </w:rPr>
        <w:t>党的领导</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eastAsia="宋体" w:cs="宋体"/>
          <w:b w:val="0"/>
          <w:bCs w:val="0"/>
          <w:kern w:val="2"/>
          <w:sz w:val="28"/>
          <w:szCs w:val="28"/>
          <w:highlight w:val="none"/>
          <w:lang w:val="en-US" w:eastAsia="zh-CN" w:bidi="ar-SA"/>
        </w:rPr>
        <w:t>区退役军人事务局在区委区政府领导下，</w:t>
      </w:r>
      <w:r>
        <w:rPr>
          <w:rFonts w:hint="eastAsia" w:ascii="宋体" w:hAnsi="宋体" w:eastAsia="宋体" w:cs="宋体"/>
          <w:b w:val="0"/>
          <w:bCs w:val="0"/>
          <w:kern w:val="2"/>
          <w:sz w:val="28"/>
          <w:szCs w:val="28"/>
          <w:highlight w:val="none"/>
          <w:lang w:val="en-US" w:eastAsia="zh-CN" w:bidi="ar-SA"/>
        </w:rPr>
        <w:t>始终坚持党对退役军人工作的领导，任何时候任何情况都</w:t>
      </w:r>
      <w:r>
        <w:rPr>
          <w:rFonts w:hint="eastAsia" w:eastAsia="宋体" w:cs="宋体"/>
          <w:b w:val="0"/>
          <w:bCs w:val="0"/>
          <w:kern w:val="2"/>
          <w:sz w:val="28"/>
          <w:szCs w:val="28"/>
          <w:highlight w:val="none"/>
          <w:lang w:val="en-US" w:eastAsia="zh-CN" w:bidi="ar-SA"/>
        </w:rPr>
        <w:t>高举</w:t>
      </w:r>
      <w:r>
        <w:rPr>
          <w:rFonts w:hint="eastAsia" w:ascii="宋体" w:hAnsi="宋体" w:eastAsia="宋体" w:cs="宋体"/>
          <w:b w:val="0"/>
          <w:bCs w:val="0"/>
          <w:kern w:val="2"/>
          <w:sz w:val="28"/>
          <w:szCs w:val="28"/>
          <w:highlight w:val="none"/>
          <w:lang w:val="en-US" w:eastAsia="zh-CN" w:bidi="ar-SA"/>
        </w:rPr>
        <w:t>党的旗帜、方向</w:t>
      </w:r>
      <w:r>
        <w:rPr>
          <w:rFonts w:hint="eastAsia" w:eastAsia="宋体" w:cs="宋体"/>
          <w:b w:val="0"/>
          <w:bCs w:val="0"/>
          <w:kern w:val="2"/>
          <w:sz w:val="28"/>
          <w:szCs w:val="28"/>
          <w:highlight w:val="none"/>
          <w:lang w:val="en-US" w:eastAsia="zh-CN" w:bidi="ar-SA"/>
        </w:rPr>
        <w:t>明确</w:t>
      </w:r>
      <w:r>
        <w:rPr>
          <w:rFonts w:hint="eastAsia" w:ascii="宋体" w:hAnsi="宋体" w:eastAsia="宋体" w:cs="宋体"/>
          <w:b w:val="0"/>
          <w:bCs w:val="0"/>
          <w:kern w:val="2"/>
          <w:sz w:val="28"/>
          <w:szCs w:val="28"/>
          <w:highlight w:val="none"/>
          <w:lang w:val="en-US" w:eastAsia="zh-CN" w:bidi="ar-SA"/>
        </w:rPr>
        <w:t>、意志</w:t>
      </w:r>
      <w:r>
        <w:rPr>
          <w:rFonts w:hint="eastAsia" w:eastAsia="宋体" w:cs="宋体"/>
          <w:b w:val="0"/>
          <w:bCs w:val="0"/>
          <w:kern w:val="2"/>
          <w:sz w:val="28"/>
          <w:szCs w:val="28"/>
          <w:highlight w:val="none"/>
          <w:lang w:val="en-US" w:eastAsia="zh-CN" w:bidi="ar-SA"/>
        </w:rPr>
        <w:t>坚定</w:t>
      </w:r>
      <w:r>
        <w:rPr>
          <w:rFonts w:hint="eastAsia" w:ascii="宋体" w:hAnsi="宋体" w:eastAsia="宋体" w:cs="宋体"/>
          <w:b w:val="0"/>
          <w:bCs w:val="0"/>
          <w:kern w:val="2"/>
          <w:sz w:val="28"/>
          <w:szCs w:val="28"/>
          <w:highlight w:val="none"/>
          <w:lang w:val="en-US" w:eastAsia="zh-CN" w:bidi="ar-SA"/>
        </w:rPr>
        <w:t>，忠诚拥护“两个确立”</w:t>
      </w:r>
      <w:r>
        <w:rPr>
          <w:rFonts w:hint="eastAsia" w:eastAsia="宋体" w:cs="宋体"/>
          <w:b w:val="0"/>
          <w:bCs w:val="0"/>
          <w:kern w:val="2"/>
          <w:sz w:val="28"/>
          <w:szCs w:val="28"/>
          <w:highlight w:val="none"/>
          <w:lang w:val="en-US" w:eastAsia="zh-CN" w:bidi="ar-SA"/>
        </w:rPr>
        <w:t>，</w:t>
      </w:r>
      <w:r>
        <w:rPr>
          <w:rFonts w:hint="eastAsia" w:ascii="宋体" w:hAnsi="宋体" w:eastAsia="宋体" w:cs="宋体"/>
          <w:b w:val="0"/>
          <w:bCs w:val="0"/>
          <w:kern w:val="2"/>
          <w:sz w:val="28"/>
          <w:szCs w:val="28"/>
          <w:highlight w:val="none"/>
          <w:lang w:val="en-US" w:eastAsia="zh-CN" w:bidi="ar-SA"/>
        </w:rPr>
        <w:t>坚决做到</w:t>
      </w:r>
      <w:r>
        <w:rPr>
          <w:rFonts w:hint="eastAsia" w:eastAsia="宋体" w:cs="宋体"/>
          <w:b w:val="0"/>
          <w:bCs w:val="0"/>
          <w:kern w:val="2"/>
          <w:sz w:val="28"/>
          <w:szCs w:val="28"/>
          <w:highlight w:val="none"/>
          <w:lang w:val="en-US" w:eastAsia="zh-CN" w:bidi="ar-SA"/>
        </w:rPr>
        <w:t>把</w:t>
      </w:r>
      <w:r>
        <w:rPr>
          <w:rFonts w:hint="eastAsia" w:ascii="宋体" w:hAnsi="宋体" w:eastAsia="宋体" w:cs="宋体"/>
          <w:b w:val="0"/>
          <w:bCs w:val="0"/>
          <w:kern w:val="2"/>
          <w:sz w:val="28"/>
          <w:szCs w:val="28"/>
          <w:highlight w:val="none"/>
          <w:lang w:val="en-US" w:eastAsia="zh-CN" w:bidi="ar-SA"/>
        </w:rPr>
        <w:t>“两个维护”落实到退役军人事务工作全过程。坚持重大事项报告制度，主动向区委、区政府主要领导报告双拥工作、服务体系建设、政策性安置、优抚资金使用、信访矛盾化解等重大事项，在区委、区政府的坚强领导下推进落实工作任务，确保上级决策部署全面贯彻和有效执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2.做好安保维稳工作，守住了本区安全稳定底线。</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区退役军人事务局把退役军人信访稳定工作作为首要政治任务和头等大事来抓，全力做好党的二十大安保维稳工作。通过做好基础工作、摸底排查、常态走访、接访处访、督促指导、帮扶援助、教育引导等7项措施，做到对</w:t>
      </w:r>
      <w:r>
        <w:rPr>
          <w:rFonts w:hint="eastAsia" w:eastAsia="宋体" w:cs="宋体"/>
          <w:b w:val="0"/>
          <w:bCs w:val="0"/>
          <w:kern w:val="2"/>
          <w:sz w:val="28"/>
          <w:szCs w:val="28"/>
          <w:highlight w:val="none"/>
          <w:lang w:val="en-US" w:eastAsia="zh-CN" w:bidi="ar-SA"/>
        </w:rPr>
        <w:t>退役军人</w:t>
      </w:r>
      <w:r>
        <w:rPr>
          <w:rFonts w:hint="eastAsia" w:ascii="宋体" w:hAnsi="宋体" w:eastAsia="宋体" w:cs="宋体"/>
          <w:b w:val="0"/>
          <w:bCs w:val="0"/>
          <w:kern w:val="2"/>
          <w:sz w:val="28"/>
          <w:szCs w:val="28"/>
          <w:highlight w:val="none"/>
          <w:lang w:val="en-US" w:eastAsia="zh-CN" w:bidi="ar-SA"/>
        </w:rPr>
        <w:t>重点群体和人员情况清、诉求明、对策准，对排查出来的11个不稳定退役军人群体的挑头对象和9名重点对象，一一落实“三盯一”、“五包一”稳控措施和重大问题领导包案双包联机制，制订了相应的应急预案，建立了台账，确保了涉军群体无一人赴省进京非访，牢牢守住安全稳定底线。</w:t>
      </w:r>
    </w:p>
    <w:p>
      <w:pPr>
        <w:pStyle w:val="7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3.做好学习与宣传工作，提升工作人员及退役军人法律意识和法治观念。</w:t>
      </w:r>
    </w:p>
    <w:p>
      <w:pPr>
        <w:pStyle w:val="7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区退役军人事务局将法治建设摆在突出位置，局党组会议及工作例会多次研究讨论、学习有关退役军人法治建设、重大行政决策、规范性文件，强化法治思维和依法行政意识，依法推进退役军人工作开展。区退役军人事务局认真抓好退役军人事务领域法律法规和社会主义法治理念的学习宣传，提高退役军人事务系统工作人员法律意识和法治观念。组织全体干部参加湖南省国家工作人员学法考试，考试优秀率100%。充分利用三级退役军人服务保障体系，宣传退役军人工作政策法规，全方位营造全社会尊重退役军人和支持退役军人工作的良好氛围，不断提升退役军人依法表达诉求、依法维护权益的意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4.完善英雄烈士纪念设施建设，提升了红色教育功能与氛围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2022年完成零散烈士墓集中迁移整修和修建烈士广场工作，落实了退役军人事务部、中央宣传部、财政部《关于印发&lt;全国县级以下英雄烈士纪念设施整修工程实施方案&gt;的通知》（退役军人部发〔2021〕47号）精神、省厅3月9日平江会议精神和有关政策规定及区政府第6次常务会议专题研究部署，从根本上改善本区零散烈士纪念设施整体面貌，提升英雄烈士纪念设施红色教育功能，营造崇尚英烈、学习英烈、捍卫英烈的社会氛围。5月27日，举行零散烈士墓集中迁移入园仪式，80名烈士遗骸集中迁葬至区烈士陵园，进行统一保护管理和纪念瞻仰。9月30日，在第9个烈士纪念日，在烈士广场举行了隆重的烈士公祭仪式，这是国家设立烈士纪念日以来，本区首次开展该项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5.妥善安置就业，鼓励退役军人创业创新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（1）积极完成退役士兵安置工作。2022年我区共接收符合政府安排工作条件退役士兵3名，经报请区移交安置工作领导小组同意，7月28日，召开选岗会，其中2名安置在路口镇，1名安置在长岭街道。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(2)扎实推进就业创业工作。在2022年云溪区“春风行动”系列招聘活动上，开辟退役军人专场招聘会。招聘会采取“线下＋线上”模式，分别在5个镇（街道）开展，共有106名未就业退役军人参加，登记了求职信息，有21名退役军人达成初步就业意向。9月21日，联合区就业服务中心开展为期7天的2022年度退役士兵就业创业班，共有48名返乡退役军人参加。帮助退役士兵适应地方工作需要、调整退役心理需求，更好更快地融入社会发展，完成角色转变。为激发退役军人开展自主创业，区退役军人局积极对接岳阳市首届“戎耀巴陵”退役军人创业大赛，鼓励退役军人创业创新，退役军人葛智勇、沈赐凯、彭泽华有望脱颖而出获得创业创新大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6.全力落实双拥优抚政策，为全区双拥工作打下坚实基础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一是大力推动优待证制发工作。退役军人、其他优抚对象优待证是持证人彰显荣誉的载体、享受优待的凭证。云溪区从今年4月8日起开展优待证制发工作，坚持把优待证申领制发纳入退役军人工作整体考虑，将建档立卡信息的采集、优待证的申请结合起来开展工作，以优待证申请促进建档立卡信息采集，以建档立卡信息完善提升优待证申请质效，进一步夯实了退役军人工作基础。目前，已完成初审5353条，签收证件4365张。二是全力落实双拥优抚政策。区政府第6次常务会议专题研究了双拥工作，印发了《关于进一步做好新时代双拥工作的意见》，为全区双拥工作打下坚实基础。春节、“八一”期间，区委、区政府主要领导带头走访涉军单位和退役军人，为三等功现役军人家庭送喜报。区双拥工作领导小组24家成员单位走访慰问24名退役军人癌症患者。全区优抚资金通过“一卡通系统”发放，共准时足额发放固定抚恤补助759.19万元，发放重点优抚对象医疗补助90人19.31万元，发放义务兵家庭优待金58人137.8万元，大学生一次性奖励金39人26.6万元，进疆进藏及高原条件兵奖励金4人4万元。</w:t>
      </w:r>
    </w:p>
    <w:p>
      <w:pPr>
        <w:pStyle w:val="12"/>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Calibri" w:hAnsi="宋体" w:cs="宋体"/>
          <w:b/>
          <w:bCs/>
          <w:sz w:val="32"/>
          <w:szCs w:val="32"/>
          <w:lang w:eastAsia="zh-CN"/>
        </w:rPr>
      </w:pPr>
      <w:r>
        <w:rPr>
          <w:rFonts w:hint="eastAsia" w:ascii="Calibri" w:hAnsi="宋体" w:cs="宋体"/>
          <w:b/>
          <w:bCs/>
          <w:sz w:val="32"/>
          <w:szCs w:val="32"/>
          <w:lang w:val="en-US" w:eastAsia="zh-CN"/>
        </w:rPr>
        <w:t>七、</w:t>
      </w:r>
      <w:r>
        <w:rPr>
          <w:rFonts w:hint="eastAsia" w:ascii="Calibri" w:hAnsi="宋体" w:cs="宋体"/>
          <w:b/>
          <w:bCs/>
          <w:sz w:val="32"/>
          <w:szCs w:val="32"/>
        </w:rPr>
        <w:t>存在的问题</w:t>
      </w:r>
      <w:r>
        <w:rPr>
          <w:rFonts w:hint="eastAsia" w:ascii="Calibri" w:hAnsi="宋体" w:cs="宋体"/>
          <w:b/>
          <w:bCs/>
          <w:sz w:val="32"/>
          <w:szCs w:val="32"/>
          <w:lang w:eastAsia="zh-CN"/>
        </w:rPr>
        <w:t>及建议</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lang w:eastAsia="zh-CN"/>
        </w:rPr>
      </w:pPr>
      <w:r>
        <w:rPr>
          <w:rFonts w:hint="eastAsia" w:ascii="楷体_GB2312" w:hAnsi="Times New Roman" w:eastAsia="楷体_GB2312" w:cs="Times New Roman"/>
          <w:b/>
          <w:kern w:val="0"/>
          <w:sz w:val="32"/>
          <w:szCs w:val="32"/>
          <w:lang w:eastAsia="zh-CN"/>
        </w:rPr>
        <w:t>（</w:t>
      </w:r>
      <w:r>
        <w:rPr>
          <w:rFonts w:hint="eastAsia" w:ascii="楷体_GB2312" w:hAnsi="Times New Roman" w:eastAsia="楷体_GB2312" w:cs="Times New Roman"/>
          <w:b/>
          <w:kern w:val="0"/>
          <w:sz w:val="32"/>
          <w:szCs w:val="32"/>
          <w:lang w:val="en-US" w:eastAsia="zh-CN"/>
        </w:rPr>
        <w:t>一）</w:t>
      </w:r>
      <w:r>
        <w:rPr>
          <w:rFonts w:hint="eastAsia" w:ascii="楷体_GB2312" w:hAnsi="Times New Roman" w:eastAsia="楷体_GB2312" w:cs="Times New Roman"/>
          <w:b/>
          <w:kern w:val="0"/>
          <w:sz w:val="32"/>
          <w:szCs w:val="32"/>
          <w:lang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Calibri" w:hAnsi="宋体" w:cs="宋体"/>
          <w:b/>
          <w:bCs/>
          <w:sz w:val="28"/>
          <w:szCs w:val="28"/>
          <w:lang w:val="en-US" w:eastAsia="zh-CN"/>
        </w:rPr>
      </w:pPr>
      <w:r>
        <w:rPr>
          <w:rFonts w:hint="eastAsia" w:ascii="Calibri" w:hAnsi="宋体" w:cs="宋体"/>
          <w:b/>
          <w:bCs/>
          <w:sz w:val="28"/>
          <w:szCs w:val="28"/>
          <w:lang w:val="en-US" w:eastAsia="zh-CN"/>
        </w:rPr>
        <w:t>1.</w:t>
      </w:r>
      <w:r>
        <w:rPr>
          <w:rFonts w:hint="eastAsia" w:ascii="Calibri" w:hAnsi="宋体" w:cs="宋体"/>
          <w:b/>
          <w:bCs/>
          <w:sz w:val="28"/>
          <w:szCs w:val="28"/>
          <w:lang w:val="en-US" w:eastAsia="zh-CN"/>
        </w:rPr>
        <w:t>绩效</w:t>
      </w:r>
      <w:r>
        <w:rPr>
          <w:rFonts w:hint="eastAsia" w:ascii="Calibri" w:hAnsi="宋体" w:cs="宋体"/>
          <w:b/>
          <w:bCs/>
          <w:sz w:val="28"/>
          <w:szCs w:val="28"/>
          <w:lang w:val="en-US" w:eastAsia="zh-CN"/>
        </w:rPr>
        <w:t>目标指标设置不完整，不规范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b w:val="0"/>
          <w:bCs w:val="0"/>
          <w:color w:val="000000"/>
          <w:sz w:val="28"/>
          <w:szCs w:val="28"/>
          <w:lang w:val="en-US" w:eastAsia="zh-CN"/>
        </w:rPr>
      </w:pPr>
      <w:r>
        <w:rPr>
          <w:rFonts w:hint="eastAsia"/>
          <w:b w:val="0"/>
          <w:bCs w:val="0"/>
          <w:sz w:val="28"/>
          <w:szCs w:val="28"/>
          <w:lang w:val="en-US" w:eastAsia="zh-CN"/>
        </w:rPr>
        <w:t>区退役军人事务局提供的“</w:t>
      </w:r>
      <w:r>
        <w:rPr>
          <w:rFonts w:hint="eastAsia" w:ascii="宋体" w:hAnsi="宋体" w:eastAsia="宋体" w:cs="宋体"/>
          <w:b w:val="0"/>
          <w:bCs w:val="0"/>
          <w:sz w:val="28"/>
          <w:szCs w:val="28"/>
        </w:rPr>
        <w:t>岳阳市云溪区</w:t>
      </w:r>
      <w:r>
        <w:rPr>
          <w:rFonts w:hint="eastAsia" w:ascii="宋体" w:hAnsi="宋体" w:eastAsia="宋体" w:cs="宋体"/>
          <w:b w:val="0"/>
          <w:bCs w:val="0"/>
          <w:sz w:val="28"/>
          <w:szCs w:val="28"/>
          <w:u w:val="none"/>
        </w:rPr>
        <w:t>20</w:t>
      </w:r>
      <w:r>
        <w:rPr>
          <w:rFonts w:hint="eastAsia" w:ascii="宋体" w:hAnsi="宋体" w:eastAsia="宋体" w:cs="宋体"/>
          <w:b w:val="0"/>
          <w:bCs w:val="0"/>
          <w:sz w:val="28"/>
          <w:szCs w:val="28"/>
          <w:u w:val="none"/>
          <w:lang w:val="en-US" w:eastAsia="zh-CN"/>
        </w:rPr>
        <w:t>22</w:t>
      </w:r>
      <w:r>
        <w:rPr>
          <w:rFonts w:hint="eastAsia" w:ascii="宋体" w:hAnsi="宋体" w:eastAsia="宋体" w:cs="宋体"/>
          <w:b w:val="0"/>
          <w:bCs w:val="0"/>
          <w:sz w:val="28"/>
          <w:szCs w:val="28"/>
        </w:rPr>
        <w:t>年度部门整体支出绩效评价自评报告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存在产出</w:t>
      </w:r>
      <w:r>
        <w:rPr>
          <w:rFonts w:hint="eastAsia" w:ascii="宋体" w:hAnsi="宋体" w:eastAsia="宋体" w:cs="宋体"/>
          <w:b w:val="0"/>
          <w:bCs w:val="0"/>
          <w:color w:val="000000"/>
          <w:sz w:val="28"/>
          <w:szCs w:val="28"/>
          <w:lang w:val="en-US" w:eastAsia="zh-CN"/>
        </w:rPr>
        <w:t>数量指标、质量指标、时效指标、成本目标及社会效益、经济效益、生态效益、社会公众或服务对象满意度全部为</w:t>
      </w:r>
      <w:r>
        <w:rPr>
          <w:rFonts w:hint="eastAsia" w:ascii="宋体" w:hAnsi="宋体" w:eastAsia="宋体" w:cs="宋体"/>
          <w:b w:val="0"/>
          <w:bCs w:val="0"/>
          <w:color w:val="000000"/>
          <w:sz w:val="28"/>
          <w:szCs w:val="28"/>
          <w:lang w:val="en-US" w:eastAsia="zh-CN"/>
        </w:rPr>
        <w:t>同</w:t>
      </w:r>
      <w:r>
        <w:rPr>
          <w:rFonts w:hint="eastAsia" w:ascii="宋体" w:hAnsi="宋体" w:eastAsia="宋体" w:cs="宋体"/>
          <w:b w:val="0"/>
          <w:bCs w:val="0"/>
          <w:color w:val="000000"/>
          <w:sz w:val="28"/>
          <w:szCs w:val="28"/>
          <w:lang w:val="en-US" w:eastAsia="zh-CN"/>
        </w:rPr>
        <w:t>一组指标，即均为：优抚对象抚恤补助经费、</w:t>
      </w:r>
      <w:r>
        <w:rPr>
          <w:rFonts w:hint="eastAsia" w:ascii="宋体" w:hAnsi="宋体" w:eastAsia="宋体" w:cs="宋体"/>
          <w:b w:val="0"/>
          <w:bCs w:val="0"/>
          <w:color w:val="000000"/>
          <w:sz w:val="28"/>
          <w:szCs w:val="28"/>
          <w:lang w:val="en-US" w:eastAsia="zh-CN"/>
        </w:rPr>
        <w:t>优抚对象医疗补助经费、退役安置补助经费、义务兵家庭优待金。</w:t>
      </w:r>
      <w:r>
        <w:rPr>
          <w:rFonts w:hint="eastAsia" w:ascii="Calibri" w:hAnsi="宋体" w:cs="宋体"/>
          <w:b w:val="0"/>
          <w:bCs w:val="0"/>
          <w:sz w:val="28"/>
          <w:szCs w:val="28"/>
          <w:lang w:val="en-US" w:eastAsia="zh-CN"/>
        </w:rPr>
        <w:t>绩效目标指标设置不完整，不规范，</w:t>
      </w:r>
      <w:r>
        <w:rPr>
          <w:rFonts w:hint="eastAsia" w:ascii="宋体" w:hAnsi="宋体" w:eastAsia="宋体" w:cs="宋体"/>
          <w:b w:val="0"/>
          <w:bCs w:val="0"/>
          <w:color w:val="000000"/>
          <w:sz w:val="28"/>
          <w:szCs w:val="28"/>
          <w:lang w:val="en-US" w:eastAsia="zh-CN"/>
        </w:rPr>
        <w:t>仅对经费发放纳入绩效指标考核，</w:t>
      </w:r>
      <w:r>
        <w:rPr>
          <w:rFonts w:hint="eastAsia" w:ascii="宋体" w:hAnsi="宋体" w:eastAsia="宋体" w:cs="宋体"/>
          <w:b w:val="0"/>
          <w:bCs w:val="0"/>
          <w:color w:val="000000"/>
          <w:sz w:val="28"/>
          <w:szCs w:val="28"/>
          <w:lang w:val="en-US" w:eastAsia="zh-CN"/>
        </w:rPr>
        <w:t>未将该局全年综合考核指标等具体管理履职工作内容纳入绩效指标，且绩效指标未进行量化、细化。</w:t>
      </w:r>
      <w:r>
        <w:rPr>
          <w:rFonts w:hint="eastAsia"/>
          <w:b w:val="0"/>
          <w:bCs w:val="0"/>
          <w:sz w:val="28"/>
          <w:szCs w:val="28"/>
          <w:lang w:val="en-US" w:eastAsia="zh-CN"/>
        </w:rPr>
        <w:t>不符合绩效评价管理要求。原因：对</w:t>
      </w:r>
      <w:r>
        <w:rPr>
          <w:rFonts w:hint="eastAsia" w:ascii="Calibri" w:hAnsi="宋体" w:cs="宋体"/>
          <w:b w:val="0"/>
          <w:bCs w:val="0"/>
          <w:sz w:val="28"/>
          <w:szCs w:val="28"/>
          <w:lang w:val="en-US" w:eastAsia="zh-CN"/>
        </w:rPr>
        <w:t>绩效指标设置业务不太熟悉。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Calibri" w:hAnsi="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Calibri" w:hAnsi="宋体" w:cs="宋体"/>
          <w:b/>
          <w:bCs/>
          <w:sz w:val="28"/>
          <w:szCs w:val="28"/>
          <w:lang w:val="en-US" w:eastAsia="zh-CN"/>
        </w:rPr>
        <w:t>部分支出超预算及预算范围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kern w:val="0"/>
          <w:sz w:val="28"/>
          <w:szCs w:val="28"/>
          <w:lang w:eastAsia="zh-CN"/>
        </w:rPr>
      </w:pPr>
      <w:r>
        <w:rPr>
          <w:rFonts w:hint="eastAsia" w:ascii="宋体" w:hAnsi="宋体" w:cs="宋体"/>
          <w:b/>
          <w:bCs/>
          <w:kern w:val="0"/>
          <w:sz w:val="28"/>
          <w:szCs w:val="28"/>
          <w:lang w:val="en-US" w:eastAsia="zh-CN" w:bidi="ar"/>
        </w:rPr>
        <w:t>（1）公务招待费支出超预算标准</w:t>
      </w:r>
      <w:r>
        <w:rPr>
          <w:rFonts w:hint="eastAsia" w:ascii="宋体" w:hAnsi="宋体" w:cs="宋体"/>
          <w:kern w:val="0"/>
          <w:sz w:val="28"/>
          <w:szCs w:val="28"/>
          <w:lang w:val="en-US" w:eastAsia="zh-CN" w:bidi="ar"/>
        </w:rPr>
        <w:t>。</w:t>
      </w:r>
      <w:r>
        <w:rPr>
          <w:rFonts w:hint="eastAsia" w:ascii="宋体" w:hAnsi="宋体" w:cs="宋体"/>
          <w:kern w:val="0"/>
          <w:sz w:val="28"/>
          <w:szCs w:val="28"/>
          <w:lang w:eastAsia="zh-CN" w:bidi="ar"/>
        </w:rPr>
        <w:t>20</w:t>
      </w:r>
      <w:r>
        <w:rPr>
          <w:rFonts w:hint="eastAsia" w:ascii="宋体" w:hAnsi="宋体" w:cs="宋体"/>
          <w:kern w:val="0"/>
          <w:sz w:val="28"/>
          <w:szCs w:val="28"/>
          <w:lang w:val="en-US" w:eastAsia="zh-CN" w:bidi="ar"/>
        </w:rPr>
        <w:t>22</w:t>
      </w:r>
      <w:r>
        <w:rPr>
          <w:rFonts w:hint="eastAsia" w:ascii="宋体" w:hAnsi="宋体" w:cs="宋体"/>
          <w:kern w:val="0"/>
          <w:sz w:val="28"/>
          <w:szCs w:val="28"/>
          <w:lang w:eastAsia="zh-CN" w:bidi="ar"/>
        </w:rPr>
        <w:t>年</w:t>
      </w:r>
      <w:r>
        <w:rPr>
          <w:rFonts w:hint="eastAsia" w:ascii="宋体" w:hAnsi="宋体" w:cs="宋体"/>
          <w:kern w:val="0"/>
          <w:sz w:val="28"/>
          <w:szCs w:val="28"/>
          <w:lang w:val="en-US" w:eastAsia="zh-CN" w:bidi="ar"/>
        </w:rPr>
        <w:t>区退役军人事务局公务招待费用</w:t>
      </w:r>
      <w:r>
        <w:rPr>
          <w:rFonts w:hint="eastAsia" w:ascii="宋体" w:hAnsi="宋体" w:cs="宋体"/>
          <w:kern w:val="0"/>
          <w:sz w:val="28"/>
          <w:szCs w:val="28"/>
          <w:lang w:eastAsia="zh-CN" w:bidi="ar"/>
        </w:rPr>
        <w:t>实际支出</w:t>
      </w:r>
      <w:r>
        <w:rPr>
          <w:rFonts w:hint="eastAsia" w:ascii="宋体" w:hAnsi="宋体" w:cs="宋体"/>
          <w:kern w:val="0"/>
          <w:sz w:val="28"/>
          <w:szCs w:val="28"/>
          <w:lang w:val="en-US" w:eastAsia="zh-CN" w:bidi="ar"/>
        </w:rPr>
        <w:t>1.23</w:t>
      </w:r>
      <w:r>
        <w:rPr>
          <w:rFonts w:hint="eastAsia" w:ascii="宋体" w:hAnsi="宋体" w:cs="宋体"/>
          <w:kern w:val="0"/>
          <w:sz w:val="28"/>
          <w:szCs w:val="28"/>
          <w:lang w:eastAsia="zh-CN" w:bidi="ar"/>
        </w:rPr>
        <w:t>万元，</w:t>
      </w:r>
      <w:r>
        <w:rPr>
          <w:rFonts w:hint="eastAsia" w:ascii="宋体" w:hAnsi="宋体" w:cs="宋体"/>
          <w:kern w:val="0"/>
          <w:sz w:val="28"/>
          <w:szCs w:val="28"/>
          <w:lang w:val="en-US" w:eastAsia="zh-CN" w:bidi="ar"/>
        </w:rPr>
        <w:t>主要用于接待省审计核查组、市退役军人事务局、部队相关单位等检查、工作联系餐费；超出预算计划（0.2万元）1.03万元，超预算515%。公务招待费支出超预算标准，使得</w:t>
      </w:r>
      <w:r>
        <w:rPr>
          <w:rFonts w:hint="eastAsia" w:ascii="宋体" w:hAnsi="宋体" w:cs="宋体"/>
          <w:bCs/>
          <w:kern w:val="0"/>
          <w:sz w:val="28"/>
          <w:szCs w:val="28"/>
          <w:lang w:bidi="ar"/>
        </w:rPr>
        <w:t>“三公经费”</w:t>
      </w:r>
      <w:r>
        <w:rPr>
          <w:rFonts w:hint="eastAsia" w:ascii="宋体" w:hAnsi="宋体" w:cs="宋体"/>
          <w:bCs/>
          <w:kern w:val="0"/>
          <w:sz w:val="28"/>
          <w:szCs w:val="28"/>
          <w:lang w:val="en-US" w:eastAsia="zh-CN" w:bidi="ar"/>
        </w:rPr>
        <w:t>预算</w:t>
      </w:r>
      <w:r>
        <w:rPr>
          <w:rFonts w:hint="eastAsia" w:ascii="宋体" w:hAnsi="宋体" w:cs="宋体"/>
          <w:bCs/>
          <w:kern w:val="0"/>
          <w:sz w:val="28"/>
          <w:szCs w:val="28"/>
          <w:lang w:bidi="ar"/>
        </w:rPr>
        <w:t>控制</w:t>
      </w:r>
      <w:r>
        <w:rPr>
          <w:rFonts w:hint="eastAsia" w:ascii="宋体" w:hAnsi="宋体" w:cs="宋体"/>
          <w:bCs/>
          <w:kern w:val="0"/>
          <w:sz w:val="28"/>
          <w:szCs w:val="28"/>
          <w:lang w:val="en-US" w:eastAsia="zh-CN" w:bidi="ar"/>
        </w:rPr>
        <w:t>率不达标。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（2）基层能力建设专项支出超预算范围</w:t>
      </w:r>
      <w:r>
        <w:rPr>
          <w:rFonts w:hint="eastAsia" w:ascii="Times New Roman" w:hAnsi="Times New Roman" w:eastAsia="宋体" w:cs="Times New Roman"/>
          <w:b w:val="0"/>
          <w:bCs w:val="0"/>
          <w:sz w:val="28"/>
          <w:szCs w:val="28"/>
          <w:lang w:val="en-US" w:eastAsia="zh-CN"/>
        </w:rPr>
        <w:t>。2022年区退役军人事务局拨付各镇（街道）基层能力建设经费共36.00万元，其中拨付路口镇11.00万元、长岭街道4.00万元、陆城镇3.00万元、云溪街道11.00万元、松阳湖街道7.00万元。此专项经费支出本年无预算，擅自拨付</w:t>
      </w:r>
      <w:r>
        <w:rPr>
          <w:rFonts w:hint="eastAsia" w:ascii="Times New Roman" w:hAnsi="Times New Roman" w:eastAsia="宋体" w:cs="Times New Roman"/>
          <w:b w:val="0"/>
          <w:bCs w:val="0"/>
          <w:sz w:val="28"/>
          <w:szCs w:val="28"/>
          <w:lang w:val="en-US" w:eastAsia="zh-CN"/>
        </w:rPr>
        <w:t>基层能力建设经费</w:t>
      </w:r>
      <w:r>
        <w:rPr>
          <w:rFonts w:hint="eastAsia" w:ascii="Times New Roman" w:hAnsi="Times New Roman" w:eastAsia="宋体" w:cs="Times New Roman"/>
          <w:b w:val="0"/>
          <w:bCs w:val="0"/>
          <w:sz w:val="28"/>
          <w:szCs w:val="28"/>
          <w:lang w:val="en-US" w:eastAsia="zh-CN"/>
        </w:rPr>
        <w:t>，超出区财政预算范围，</w:t>
      </w:r>
      <w:r>
        <w:rPr>
          <w:rFonts w:hint="eastAsia" w:ascii="Times New Roman" w:hAnsi="Times New Roman" w:eastAsia="宋体" w:cs="Times New Roman"/>
          <w:b w:val="0"/>
          <w:bCs w:val="0"/>
          <w:sz w:val="28"/>
          <w:szCs w:val="28"/>
          <w:lang w:val="en-US" w:eastAsia="zh-CN"/>
        </w:rPr>
        <w:t>挤占其他项目资金</w:t>
      </w:r>
      <w:r>
        <w:rPr>
          <w:rFonts w:hint="eastAsia" w:ascii="Times New Roman" w:hAnsi="Times New Roman" w:eastAsia="宋体"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（3）基本支出超预算</w:t>
      </w:r>
      <w:r>
        <w:rPr>
          <w:rFonts w:hint="eastAsia" w:ascii="Times New Roman" w:hAnsi="Times New Roman" w:eastAsia="宋体" w:cs="Times New Roman"/>
          <w:b w:val="0"/>
          <w:bCs w:val="0"/>
          <w:sz w:val="28"/>
          <w:szCs w:val="28"/>
          <w:lang w:val="en-US" w:eastAsia="zh-CN"/>
        </w:rPr>
        <w:t>。实际基本支出189.9万元，超预算（161.38万元）28.52万元，其中：人员经费支出135.46万元，超预算（106.43万元）28.69万元。原因：2022年8-10月新增加3个编制人员，区财政2022年未拨付相应人员经费，已在2023年补充拨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3.工会经费拨付</w:t>
      </w:r>
      <w:r>
        <w:rPr>
          <w:rFonts w:hint="eastAsia" w:ascii="宋体" w:hAnsi="宋体" w:cs="宋体"/>
          <w:b/>
          <w:bCs/>
          <w:sz w:val="28"/>
          <w:szCs w:val="28"/>
          <w:lang w:val="en-US" w:eastAsia="zh-CN"/>
        </w:rPr>
        <w:t>依据及凭证附件不全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单位行政资金拨付</w:t>
      </w:r>
      <w:r>
        <w:rPr>
          <w:rFonts w:hint="eastAsia" w:ascii="宋体" w:hAnsi="宋体" w:cs="宋体"/>
          <w:b w:val="0"/>
          <w:bCs w:val="0"/>
          <w:sz w:val="28"/>
          <w:szCs w:val="28"/>
          <w:lang w:val="en-US" w:eastAsia="zh-CN"/>
        </w:rPr>
        <w:t>局机关工会7.00万元，支付凭证附件无工会开办活动方案（含经费预算）、通知、签到册等手续及附件；拨付至工会双联帮扶资金1.00万元，无由单位行政资金拨付至局机关工会依据。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strike w:val="0"/>
          <w:color w:val="auto"/>
          <w:sz w:val="28"/>
          <w:szCs w:val="28"/>
          <w:lang w:val="en-US" w:eastAsia="zh-CN"/>
        </w:rPr>
      </w:pPr>
      <w:r>
        <w:rPr>
          <w:rFonts w:hint="eastAsia" w:ascii="宋体" w:hAnsi="宋体" w:cs="宋体"/>
          <w:b/>
          <w:bCs/>
          <w:strike w:val="0"/>
          <w:color w:val="auto"/>
          <w:sz w:val="28"/>
          <w:szCs w:val="28"/>
          <w:lang w:val="en-US" w:eastAsia="zh-CN"/>
        </w:rPr>
        <w:t>4.超标准安排区福利中心（光荣院）优抚资金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b w:val="0"/>
          <w:bCs w:val="0"/>
          <w:strike w:val="0"/>
          <w:color w:val="auto"/>
          <w:sz w:val="28"/>
          <w:szCs w:val="28"/>
          <w:lang w:val="en-US" w:eastAsia="zh-CN"/>
        </w:rPr>
      </w:pPr>
      <w:r>
        <w:rPr>
          <w:rFonts w:hint="eastAsia" w:ascii="宋体" w:hAnsi="宋体" w:cs="宋体"/>
          <w:b w:val="0"/>
          <w:bCs w:val="0"/>
          <w:strike w:val="0"/>
          <w:color w:val="auto"/>
          <w:sz w:val="28"/>
          <w:szCs w:val="28"/>
          <w:lang w:val="en-US" w:eastAsia="zh-CN"/>
        </w:rPr>
        <w:t>区光荣院共有18名退役军人，根据云溪区供养机构救助标准，应付全年优抚费用20.48万元（伙食费840元/月/人*18人*12+衣被费、医药费、取暖费1300元/年*18人）。</w:t>
      </w:r>
      <w:r>
        <w:rPr>
          <w:rFonts w:hint="eastAsia" w:ascii="宋体" w:hAnsi="宋体" w:cs="宋体"/>
          <w:b w:val="0"/>
          <w:bCs w:val="0"/>
          <w:strike w:val="0"/>
          <w:color w:val="auto"/>
          <w:sz w:val="28"/>
          <w:szCs w:val="28"/>
          <w:lang w:val="en-US" w:eastAsia="zh-CN"/>
        </w:rPr>
        <w:t>2022年区退役军人事务中心共拨付区福利中心经费87.00万元</w:t>
      </w:r>
      <w:r>
        <w:rPr>
          <w:rFonts w:hint="eastAsia" w:ascii="宋体" w:hAnsi="宋体" w:cs="宋体"/>
          <w:b/>
          <w:bCs/>
          <w:strike w:val="0"/>
          <w:color w:val="auto"/>
          <w:sz w:val="28"/>
          <w:szCs w:val="28"/>
          <w:lang w:val="en-US" w:eastAsia="zh-CN"/>
        </w:rPr>
        <w:t>，</w:t>
      </w:r>
      <w:r>
        <w:rPr>
          <w:rFonts w:hint="eastAsia" w:ascii="宋体" w:hAnsi="宋体" w:cs="宋体"/>
          <w:b w:val="0"/>
          <w:bCs w:val="0"/>
          <w:strike w:val="0"/>
          <w:color w:val="auto"/>
          <w:sz w:val="28"/>
          <w:szCs w:val="28"/>
          <w:lang w:val="en-US" w:eastAsia="zh-CN"/>
        </w:rPr>
        <w:t>其中拨付</w:t>
      </w:r>
      <w:r>
        <w:rPr>
          <w:rFonts w:hint="eastAsia" w:ascii="宋体" w:hAnsi="宋体" w:cs="宋体"/>
          <w:b w:val="0"/>
          <w:bCs w:val="0"/>
          <w:strike w:val="0"/>
          <w:color w:val="auto"/>
          <w:sz w:val="28"/>
          <w:szCs w:val="28"/>
          <w:lang w:val="en-US" w:eastAsia="zh-CN"/>
        </w:rPr>
        <w:t>光荣院18名退役军人优抚经费57.00万元（</w:t>
      </w:r>
      <w:r>
        <w:rPr>
          <w:rFonts w:hint="eastAsia" w:ascii="宋体" w:hAnsi="宋体" w:cs="宋体"/>
          <w:b w:val="0"/>
          <w:bCs w:val="0"/>
          <w:strike w:val="0"/>
          <w:color w:val="auto"/>
          <w:sz w:val="28"/>
          <w:szCs w:val="28"/>
          <w:lang w:val="en-US" w:eastAsia="zh-CN"/>
        </w:rPr>
        <w:t>上半年42万元，下半年15万元）超区标准多支付36.52万元，超过标准的178.32%。原因：2022年上半年</w:t>
      </w:r>
      <w:r>
        <w:rPr>
          <w:rFonts w:hint="eastAsia" w:ascii="宋体" w:hAnsi="宋体" w:cs="宋体"/>
          <w:b w:val="0"/>
          <w:bCs w:val="0"/>
          <w:strike w:val="0"/>
          <w:color w:val="auto"/>
          <w:sz w:val="28"/>
          <w:szCs w:val="28"/>
          <w:lang w:val="en-US" w:eastAsia="zh-CN"/>
        </w:rPr>
        <w:t>优抚经费</w:t>
      </w:r>
      <w:r>
        <w:rPr>
          <w:rFonts w:hint="eastAsia" w:ascii="宋体" w:hAnsi="宋体" w:cs="宋体"/>
          <w:b w:val="0"/>
          <w:bCs w:val="0"/>
          <w:strike w:val="0"/>
          <w:color w:val="auto"/>
          <w:sz w:val="28"/>
          <w:szCs w:val="28"/>
          <w:lang w:val="en-US" w:eastAsia="zh-CN"/>
        </w:rPr>
        <w:t>未按标准拨付。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5.</w:t>
      </w:r>
      <w:r>
        <w:rPr>
          <w:rFonts w:hint="eastAsia" w:ascii="Times New Roman" w:hAnsi="Times New Roman" w:eastAsia="宋体" w:cs="Times New Roman"/>
          <w:b/>
          <w:bCs/>
          <w:color w:val="auto"/>
          <w:kern w:val="2"/>
          <w:sz w:val="28"/>
          <w:szCs w:val="28"/>
          <w:highlight w:val="none"/>
          <w:lang w:val="en-US" w:eastAsia="zh-CN" w:bidi="ar-SA"/>
        </w:rPr>
        <w:t>部分专项资金未专款专用，部分内部检查问题整改不到位</w:t>
      </w:r>
      <w:r>
        <w:rPr>
          <w:rFonts w:hint="eastAsia" w:ascii="Times New Roman" w:hAnsi="Times New Roman" w:eastAsia="宋体" w:cs="Times New Roman"/>
          <w:b/>
          <w:bCs/>
          <w:color w:val="auto"/>
          <w:kern w:val="2"/>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宋体" w:cs="Times New Roman"/>
          <w:b w:val="0"/>
          <w:bCs w:val="0"/>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（1）</w:t>
      </w:r>
      <w:r>
        <w:rPr>
          <w:rFonts w:hint="eastAsia" w:ascii="Times New Roman" w:hAnsi="Times New Roman" w:eastAsia="宋体" w:cs="Times New Roman"/>
          <w:b/>
          <w:bCs/>
          <w:color w:val="auto"/>
          <w:kern w:val="2"/>
          <w:sz w:val="28"/>
          <w:szCs w:val="28"/>
          <w:highlight w:val="none"/>
          <w:lang w:val="en-US" w:eastAsia="zh-CN" w:bidi="ar-SA"/>
        </w:rPr>
        <w:t>改变资金用途</w:t>
      </w:r>
      <w:r>
        <w:rPr>
          <w:rFonts w:hint="eastAsia" w:ascii="Times New Roman" w:hAnsi="Times New Roman" w:eastAsia="宋体" w:cs="Times New Roman"/>
          <w:b w:val="0"/>
          <w:bCs w:val="0"/>
          <w:color w:val="auto"/>
          <w:kern w:val="2"/>
          <w:sz w:val="28"/>
          <w:szCs w:val="28"/>
          <w:highlight w:val="none"/>
          <w:lang w:val="en-US" w:eastAsia="zh-CN" w:bidi="ar-SA"/>
        </w:rPr>
        <w:t>。</w:t>
      </w:r>
      <w:r>
        <w:rPr>
          <w:rFonts w:hint="eastAsia" w:ascii="Times New Roman" w:hAnsi="Times New Roman" w:eastAsia="宋体" w:cs="Times New Roman"/>
          <w:b w:val="0"/>
          <w:bCs w:val="0"/>
          <w:color w:val="auto"/>
          <w:kern w:val="2"/>
          <w:sz w:val="28"/>
          <w:szCs w:val="28"/>
          <w:highlight w:val="none"/>
          <w:lang w:val="en-US" w:eastAsia="zh-CN" w:bidi="ar-SA"/>
        </w:rPr>
        <w:t>根据区审计局对云溪区2022年度财政预算执行审计项目检查出具的审计意见，2022年追加区退役军人事务局追加退役军人事务专项资金400万元，用途为优抚补助经费、退役安置补助经费、军休补助经费等。2022年实际改变资金用途共计170.46万元，其中用于工资统发、办公费、差旅费等基本支出16.46万元，用于预付军队离退休人员活动场地工程款60万元，用于烈士广场建设经费60万元，退休干部活动场地电子屏、会议系统购置34万元。根据</w:t>
      </w:r>
      <w:r>
        <w:rPr>
          <w:rFonts w:hint="eastAsia" w:ascii="Times New Roman" w:hAnsi="Times New Roman" w:eastAsia="宋体" w:cs="Times New Roman"/>
          <w:b w:val="0"/>
          <w:bCs w:val="0"/>
          <w:color w:val="auto"/>
          <w:kern w:val="2"/>
          <w:sz w:val="28"/>
          <w:szCs w:val="28"/>
          <w:highlight w:val="none"/>
          <w:lang w:val="en-US" w:eastAsia="zh-CN" w:bidi="ar-SA"/>
        </w:rPr>
        <w:t>区退役军人事务局提供了《2022年区财政预算执行延伸审计取证情况说明》</w:t>
      </w:r>
      <w:r>
        <w:rPr>
          <w:rFonts w:hint="eastAsia" w:ascii="Times New Roman" w:hAnsi="Times New Roman" w:eastAsia="宋体" w:cs="Times New Roman"/>
          <w:b w:val="0"/>
          <w:bCs w:val="0"/>
          <w:color w:val="auto"/>
          <w:kern w:val="2"/>
          <w:sz w:val="28"/>
          <w:szCs w:val="28"/>
          <w:highlight w:val="none"/>
          <w:lang w:val="en-US" w:eastAsia="zh-CN" w:bidi="ar-SA"/>
        </w:rPr>
        <w:t>，</w:t>
      </w:r>
      <w:r>
        <w:rPr>
          <w:rFonts w:hint="eastAsia" w:ascii="Times New Roman" w:hAnsi="Times New Roman" w:eastAsia="宋体" w:cs="Times New Roman"/>
          <w:b w:val="0"/>
          <w:bCs w:val="0"/>
          <w:color w:val="auto"/>
          <w:kern w:val="2"/>
          <w:sz w:val="28"/>
          <w:szCs w:val="28"/>
          <w:highlight w:val="none"/>
          <w:lang w:val="en-US" w:eastAsia="zh-CN" w:bidi="ar-SA"/>
        </w:rPr>
        <w:t>原因：</w:t>
      </w:r>
      <w:r>
        <w:rPr>
          <w:rFonts w:hint="eastAsia" w:ascii="Times New Roman" w:hAnsi="Times New Roman" w:eastAsia="宋体" w:cs="Times New Roman"/>
          <w:b w:val="0"/>
          <w:bCs w:val="0"/>
          <w:color w:val="auto"/>
          <w:kern w:val="2"/>
          <w:sz w:val="28"/>
          <w:szCs w:val="28"/>
          <w:highlight w:val="none"/>
          <w:lang w:val="en-US" w:eastAsia="zh-CN" w:bidi="ar-SA"/>
        </w:rPr>
        <w:t>一是2022年新增加3位工作人员，区财政未及时追加预算经费；二是项目专项配套资金不足，财政一体化资金实行统筹使用，所以将部分退役</w:t>
      </w:r>
      <w:r>
        <w:rPr>
          <w:rFonts w:hint="eastAsia" w:ascii="Times New Roman" w:hAnsi="Times New Roman" w:eastAsia="宋体" w:cs="Times New Roman"/>
          <w:b w:val="0"/>
          <w:bCs w:val="0"/>
          <w:color w:val="auto"/>
          <w:kern w:val="2"/>
          <w:sz w:val="28"/>
          <w:szCs w:val="28"/>
          <w:highlight w:val="none"/>
          <w:lang w:val="en-US" w:eastAsia="zh-CN" w:bidi="ar-SA"/>
        </w:rPr>
        <w:t>军人事务专项资金支付工程建设及设备购置费用。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宋体" w:cs="Times New Roman"/>
          <w:b w:val="0"/>
          <w:bCs w:val="0"/>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（2）部分专项资金被挪用。</w:t>
      </w:r>
      <w:r>
        <w:rPr>
          <w:rFonts w:hint="eastAsia" w:ascii="Times New Roman" w:hAnsi="Times New Roman" w:eastAsia="宋体" w:cs="Times New Roman"/>
          <w:b w:val="0"/>
          <w:bCs w:val="0"/>
          <w:color w:val="auto"/>
          <w:kern w:val="2"/>
          <w:sz w:val="28"/>
          <w:szCs w:val="28"/>
          <w:highlight w:val="none"/>
          <w:lang w:val="en-US" w:eastAsia="zh-CN" w:bidi="ar-SA"/>
        </w:rPr>
        <w:t>镇政府挪用专项资金至今未归还资金12.84万元。一是</w:t>
      </w:r>
      <w:r>
        <w:rPr>
          <w:rFonts w:hint="eastAsia" w:ascii="宋体" w:hAnsi="宋体" w:eastAsia="宋体" w:cs="宋体"/>
          <w:color w:val="auto"/>
          <w:sz w:val="28"/>
          <w:szCs w:val="28"/>
          <w:highlight w:val="none"/>
          <w:lang w:val="en-US" w:eastAsia="zh-CN"/>
        </w:rPr>
        <w:t>区退役军人事务局</w:t>
      </w:r>
      <w:r>
        <w:rPr>
          <w:rFonts w:hint="eastAsia" w:ascii="Times New Roman" w:hAnsi="Times New Roman" w:eastAsia="宋体" w:cs="Times New Roman"/>
          <w:b w:val="0"/>
          <w:bCs w:val="0"/>
          <w:color w:val="auto"/>
          <w:kern w:val="2"/>
          <w:sz w:val="28"/>
          <w:szCs w:val="28"/>
          <w:highlight w:val="none"/>
          <w:lang w:val="en-US" w:eastAsia="zh-CN" w:bidi="ar-SA"/>
        </w:rPr>
        <w:t>拨付给路口镇“解三难”专项资金中有9.84万元，由镇财政调剂使用，未拨入到路口镇退役军人服务站帐户，未及时发放到镇退役军人优抚对象手中；二是</w:t>
      </w:r>
      <w:r>
        <w:rPr>
          <w:rFonts w:hint="eastAsia" w:ascii="宋体" w:hAnsi="宋体" w:eastAsia="宋体" w:cs="宋体"/>
          <w:color w:val="auto"/>
          <w:sz w:val="28"/>
          <w:szCs w:val="28"/>
          <w:highlight w:val="none"/>
          <w:lang w:val="en-US" w:eastAsia="zh-CN"/>
        </w:rPr>
        <w:t>区退役军人事务局</w:t>
      </w:r>
      <w:r>
        <w:rPr>
          <w:rFonts w:hint="eastAsia" w:ascii="Times New Roman" w:hAnsi="Times New Roman" w:eastAsia="宋体" w:cs="Times New Roman"/>
          <w:b w:val="0"/>
          <w:bCs w:val="0"/>
          <w:color w:val="auto"/>
          <w:kern w:val="2"/>
          <w:sz w:val="28"/>
          <w:szCs w:val="28"/>
          <w:highlight w:val="none"/>
          <w:lang w:val="en-US" w:eastAsia="zh-CN" w:bidi="ar-SA"/>
        </w:rPr>
        <w:t>拨付给陆城镇的基层能力经费有3万元由镇财政调剂使用，未拨入退役军人服务站帐户用于</w:t>
      </w:r>
      <w:r>
        <w:rPr>
          <w:rFonts w:hint="eastAsia" w:ascii="宋体" w:hAnsi="宋体" w:eastAsia="宋体" w:cs="宋体"/>
          <w:color w:val="auto"/>
          <w:sz w:val="28"/>
          <w:szCs w:val="28"/>
          <w:highlight w:val="none"/>
          <w:lang w:val="en-US" w:eastAsia="zh-CN"/>
        </w:rPr>
        <w:t>退役军人事务支出。专项资金由镇财政统筹使用，专项资金被挪用，不符合专项资金</w:t>
      </w:r>
      <w:r>
        <w:rPr>
          <w:rFonts w:hint="eastAsia" w:ascii="Times New Roman" w:hAnsi="Times New Roman" w:eastAsia="宋体" w:cs="Times New Roman"/>
          <w:b w:val="0"/>
          <w:bCs w:val="0"/>
          <w:color w:val="auto"/>
          <w:kern w:val="2"/>
          <w:sz w:val="28"/>
          <w:szCs w:val="28"/>
          <w:highlight w:val="none"/>
          <w:lang w:val="en-US" w:eastAsia="zh-CN" w:bidi="ar-SA"/>
        </w:rPr>
        <w:t>专款专用的原则。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宋体" w:cs="Times New Roman"/>
          <w:b w:val="0"/>
          <w:bCs w:val="0"/>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（3）部分内部检查问题整改不到位</w:t>
      </w:r>
      <w:r>
        <w:rPr>
          <w:rFonts w:hint="eastAsia" w:ascii="Times New Roman" w:hAnsi="Times New Roman" w:eastAsia="宋体" w:cs="Times New Roman"/>
          <w:b w:val="0"/>
          <w:bCs w:val="0"/>
          <w:color w:val="auto"/>
          <w:kern w:val="2"/>
          <w:sz w:val="28"/>
          <w:szCs w:val="28"/>
          <w:highlight w:val="none"/>
          <w:lang w:val="en-US" w:eastAsia="zh-CN" w:bidi="ar-SA"/>
        </w:rPr>
        <w:t>。内部检查回头看中有：“解三难”资金发放、优待证制发经费、部分退役军人服务站未建立台帐等问题整改不到位、不及时。根据区退役军人事务局计划，预计2023年底整改到位。</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6.部分慰问现金发放手续不合规</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（1）春节慰问现金发放手续不合规。2022年1月#19号会计凭证，支付2022年春节慰问优抚对象554人、24.23万元，</w:t>
      </w:r>
      <w:r>
        <w:rPr>
          <w:rFonts w:hint="eastAsia" w:eastAsia="宋体" w:cs="宋体"/>
          <w:b w:val="0"/>
          <w:bCs w:val="0"/>
          <w:sz w:val="28"/>
          <w:szCs w:val="28"/>
          <w:highlight w:val="none"/>
          <w:lang w:val="en-US" w:eastAsia="zh-CN"/>
        </w:rPr>
        <w:t>会计凭证附件慰问名单中</w:t>
      </w:r>
      <w:r>
        <w:rPr>
          <w:rFonts w:hint="eastAsia" w:ascii="宋体" w:hAnsi="宋体" w:eastAsia="宋体" w:cs="宋体"/>
          <w:b w:val="0"/>
          <w:bCs w:val="0"/>
          <w:sz w:val="28"/>
          <w:szCs w:val="28"/>
          <w:highlight w:val="none"/>
          <w:lang w:val="en-US" w:eastAsia="zh-CN"/>
        </w:rPr>
        <w:t>均无被慰问领款人签字，签名均为由区退役军人事务局工作人员签字或代签字，支付凭证附件不规范。</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常态化走访慰问现金发放手续不合规。2022年常态化走访慰问退役军人26人、开展了5次慰问，共计支付慰问金9.1万元，除2023年春节慰问金支付2.6万元为慰问优抚对象签字外，其他6.5万元慰问现金领取均由退役军人事务局工作人员代签字领取，其中2022年春节2.6万元、国庆节1.3万元、端午节1.3万元、八一节1.3万元。支付凭证附件均无被慰问领款人签字，不合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default"/>
          <w:b/>
          <w:bCs/>
          <w:sz w:val="28"/>
          <w:szCs w:val="28"/>
          <w:lang w:val="en-US" w:eastAsia="zh-CN"/>
        </w:rPr>
      </w:pPr>
      <w:r>
        <w:rPr>
          <w:rFonts w:hint="eastAsia"/>
          <w:b/>
          <w:bCs/>
          <w:sz w:val="28"/>
          <w:szCs w:val="28"/>
          <w:lang w:val="en-US" w:eastAsia="zh-CN"/>
        </w:rPr>
        <w:t>7.财务核算不规范，部分会计科目核算不准确。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default"/>
          <w:b w:val="0"/>
          <w:bCs w:val="0"/>
          <w:sz w:val="28"/>
          <w:szCs w:val="28"/>
          <w:lang w:val="en-US" w:eastAsia="zh-CN"/>
        </w:rPr>
      </w:pPr>
      <w:r>
        <w:rPr>
          <w:rFonts w:hint="eastAsia"/>
          <w:b/>
          <w:bCs/>
          <w:sz w:val="28"/>
          <w:szCs w:val="28"/>
          <w:lang w:val="en-US" w:eastAsia="zh-CN"/>
        </w:rPr>
        <w:t>（1）未按支出性质和经济分类核算。</w:t>
      </w:r>
      <w:r>
        <w:rPr>
          <w:rFonts w:hint="eastAsia"/>
          <w:b w:val="0"/>
          <w:bCs w:val="0"/>
          <w:sz w:val="28"/>
          <w:szCs w:val="28"/>
          <w:lang w:val="en-US" w:eastAsia="zh-CN"/>
        </w:rPr>
        <w:t>2022年区退役军人事务局会计帐面基本支出2484.14万元，其中实际基本支出189.56万元，项目（专项）支出2294.58万元。由于财务人员未按支出性质和经济分类核算</w:t>
      </w:r>
      <w:r>
        <w:rPr>
          <w:rFonts w:hint="eastAsia"/>
          <w:b/>
          <w:bCs/>
          <w:sz w:val="28"/>
          <w:szCs w:val="28"/>
          <w:lang w:val="en-US" w:eastAsia="zh-CN"/>
        </w:rPr>
        <w:t>，</w:t>
      </w:r>
      <w:r>
        <w:rPr>
          <w:rFonts w:hint="eastAsia"/>
          <w:b w:val="0"/>
          <w:bCs w:val="0"/>
          <w:sz w:val="28"/>
          <w:szCs w:val="28"/>
          <w:lang w:val="en-US" w:eastAsia="zh-CN"/>
        </w:rPr>
        <w:t>项目（专项）支出均列入基本支出“对个人和家庭补助”科目核算，致使帐面核算中无项目（专项）经费支出，基本支出、人员经费相应大幅增高，不符合行政事业单位财务核算相关规定。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b w:val="0"/>
          <w:bCs w:val="0"/>
          <w:sz w:val="28"/>
          <w:szCs w:val="28"/>
          <w:lang w:val="en-US" w:eastAsia="zh-CN"/>
        </w:rPr>
      </w:pPr>
      <w:r>
        <w:rPr>
          <w:rFonts w:hint="eastAsia"/>
          <w:b/>
          <w:bCs/>
          <w:sz w:val="28"/>
          <w:szCs w:val="28"/>
          <w:lang w:val="en-US" w:eastAsia="zh-CN"/>
        </w:rPr>
        <w:t>（2）科目核算不准确，不规范。一是“</w:t>
      </w:r>
      <w:r>
        <w:rPr>
          <w:rFonts w:hint="eastAsia"/>
          <w:b w:val="0"/>
          <w:bCs w:val="0"/>
          <w:sz w:val="28"/>
          <w:szCs w:val="28"/>
          <w:lang w:val="en-US" w:eastAsia="zh-CN"/>
        </w:rPr>
        <w:t>基本工资”科目支付其他费用3万元，其中机关人员津补贴2.8万元，补缴机关人员职工住房公积金0.2万元。二是“津贴补贴”科目中支付其他费用8.74万元，其中支付局机关人员养老保险缴费4.01万元、医疗缴费0.77万元、保险费1.02万元、职业年金2.48万元，在职人员（三类人员）李凯住房公积金0.46万元。科目核算不规范，导致基本工资、津贴补贴、养老保险缴费、医疗缴费、保险费、职业年金、住房公积金7个科目核算不准确，支出科目与支出内容不匹配，会计核算不规范。原因：未严格执行预算管理规定，会计科目使用不严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b w:val="0"/>
          <w:bCs w:val="0"/>
          <w:sz w:val="28"/>
          <w:szCs w:val="28"/>
          <w:lang w:val="en-US" w:eastAsia="zh-CN"/>
        </w:rPr>
      </w:pPr>
      <w:r>
        <w:rPr>
          <w:rFonts w:hint="eastAsia"/>
          <w:b/>
          <w:bCs/>
          <w:sz w:val="28"/>
          <w:szCs w:val="28"/>
          <w:lang w:val="en-US" w:eastAsia="zh-CN"/>
        </w:rPr>
        <w:t>（3）建设项目名称不一致，导致核算对象不明确</w:t>
      </w:r>
      <w:r>
        <w:rPr>
          <w:rFonts w:hint="eastAsia"/>
          <w:b w:val="0"/>
          <w:bCs w:val="0"/>
          <w:sz w:val="28"/>
          <w:szCs w:val="28"/>
          <w:lang w:val="en-US" w:eastAsia="zh-CN"/>
        </w:rPr>
        <w:t>。区退役军人事务局账务帐设置军休干部爱国主义教育基地建设项目、烈士纪念建筑物管理维修项目；区财政评审批复项目分别为烈士广场（预算编号YXCP2022-Y273）、烈士陵园（预算编号 YXCP2022-Y273）2个预算评审批复项目，根据区退役军人事务局有关人员说明，以上四个名称实际为同一个建设项目、同一个预算项目。建设项目名称不一致，导致核算对象不明确。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b w:val="0"/>
          <w:bCs w:val="0"/>
          <w:sz w:val="28"/>
          <w:szCs w:val="28"/>
          <w:lang w:val="en-US" w:eastAsia="zh-CN"/>
        </w:rPr>
      </w:pPr>
      <w:r>
        <w:rPr>
          <w:rFonts w:hint="eastAsia"/>
          <w:b/>
          <w:bCs/>
          <w:sz w:val="28"/>
          <w:szCs w:val="28"/>
          <w:lang w:val="en-US" w:eastAsia="zh-CN"/>
        </w:rPr>
        <w:t>（4）项目支出依据附件不全</w:t>
      </w:r>
      <w:r>
        <w:rPr>
          <w:rFonts w:hint="eastAsia"/>
          <w:b w:val="0"/>
          <w:bCs w:val="0"/>
          <w:sz w:val="28"/>
          <w:szCs w:val="28"/>
          <w:lang w:val="en-US" w:eastAsia="zh-CN"/>
        </w:rPr>
        <w:t xml:space="preserve">。支付爱国主义教育基地建设项目经费60万元、烈士纪念建筑物管理维修60万元，支出附件无合同、无项目监理支付进度表等依据，不便于监督、审核支付是否符合合同约定支付进度。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宋体" w:cs="Times New Roman"/>
          <w:b w:val="0"/>
          <w:bCs w:val="0"/>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8.个别业务</w:t>
      </w:r>
      <w:r>
        <w:rPr>
          <w:rFonts w:hint="eastAsia" w:ascii="宋体" w:hAnsi="宋体" w:cs="宋体"/>
          <w:b/>
          <w:bCs/>
          <w:strike w:val="0"/>
          <w:color w:val="auto"/>
          <w:sz w:val="28"/>
          <w:szCs w:val="28"/>
          <w:lang w:val="en-US" w:eastAsia="zh-CN"/>
        </w:rPr>
        <w:t>监管不到位，基层工作人员</w:t>
      </w:r>
      <w:r>
        <w:rPr>
          <w:rFonts w:hint="eastAsia" w:ascii="Times New Roman" w:hAnsi="Times New Roman" w:eastAsia="宋体" w:cs="Times New Roman"/>
          <w:b/>
          <w:bCs/>
          <w:color w:val="auto"/>
          <w:kern w:val="2"/>
          <w:sz w:val="28"/>
          <w:szCs w:val="28"/>
          <w:highlight w:val="none"/>
          <w:lang w:val="en-US" w:eastAsia="zh-CN" w:bidi="ar-SA"/>
        </w:rPr>
        <w:t>履职效能较低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宋体" w:hAnsi="宋体" w:cs="宋体"/>
          <w:b w:val="0"/>
          <w:bCs w:val="0"/>
          <w:strike w:val="0"/>
          <w:color w:val="auto"/>
          <w:sz w:val="28"/>
          <w:szCs w:val="28"/>
          <w:lang w:val="en-US" w:eastAsia="zh-CN"/>
        </w:rPr>
      </w:pPr>
      <w:r>
        <w:rPr>
          <w:rFonts w:hint="eastAsia" w:ascii="宋体" w:hAnsi="宋体" w:cs="宋体"/>
          <w:b/>
          <w:bCs/>
          <w:strike w:val="0"/>
          <w:color w:val="auto"/>
          <w:sz w:val="28"/>
          <w:szCs w:val="28"/>
          <w:lang w:val="en-US" w:eastAsia="zh-CN"/>
        </w:rPr>
        <w:t>（1）拨付光荣院维修改造项目监管不到位。</w:t>
      </w:r>
      <w:r>
        <w:rPr>
          <w:rFonts w:hint="eastAsia" w:ascii="宋体" w:hAnsi="宋体" w:cs="宋体"/>
          <w:b w:val="0"/>
          <w:bCs w:val="0"/>
          <w:strike w:val="0"/>
          <w:color w:val="auto"/>
          <w:sz w:val="28"/>
          <w:szCs w:val="28"/>
          <w:lang w:val="en-US" w:eastAsia="zh-CN"/>
        </w:rPr>
        <w:t>2022年拨付光荣院维修改造款30万元，</w:t>
      </w:r>
      <w:r>
        <w:rPr>
          <w:rFonts w:hint="eastAsia" w:ascii="宋体" w:hAnsi="宋体" w:eastAsia="宋体" w:cs="宋体"/>
          <w:color w:val="auto"/>
          <w:sz w:val="28"/>
          <w:szCs w:val="28"/>
          <w:highlight w:val="none"/>
          <w:lang w:val="en-US" w:eastAsia="zh-CN"/>
        </w:rPr>
        <w:t>区退役军人事务局只有资金拨付，缺乏对</w:t>
      </w:r>
      <w:r>
        <w:rPr>
          <w:rFonts w:hint="eastAsia" w:ascii="宋体" w:hAnsi="宋体" w:cs="宋体"/>
          <w:b w:val="0"/>
          <w:bCs w:val="0"/>
          <w:strike w:val="0"/>
          <w:color w:val="auto"/>
          <w:sz w:val="28"/>
          <w:szCs w:val="28"/>
          <w:lang w:val="en-US" w:eastAsia="zh-CN"/>
        </w:rPr>
        <w:t>项目监管。</w:t>
      </w:r>
      <w:r>
        <w:rPr>
          <w:rFonts w:hint="eastAsia" w:ascii="宋体" w:hAnsi="宋体" w:eastAsia="宋体" w:cs="宋体"/>
          <w:color w:val="auto"/>
          <w:sz w:val="28"/>
          <w:szCs w:val="28"/>
          <w:highlight w:val="none"/>
          <w:lang w:val="en-US" w:eastAsia="zh-CN"/>
        </w:rPr>
        <w:t>局财务部门未对拨付资金使用情况进行监管，业务相关股室未</w:t>
      </w:r>
      <w:r>
        <w:rPr>
          <w:rFonts w:hint="eastAsia" w:ascii="宋体" w:hAnsi="宋体" w:eastAsia="宋体" w:cs="宋体"/>
          <w:b w:val="0"/>
          <w:bCs w:val="0"/>
          <w:color w:val="auto"/>
          <w:sz w:val="28"/>
          <w:szCs w:val="28"/>
          <w:highlight w:val="none"/>
          <w:lang w:val="en-US" w:eastAsia="zh-CN"/>
        </w:rPr>
        <w:t>对</w:t>
      </w:r>
      <w:r>
        <w:rPr>
          <w:rFonts w:hint="eastAsia" w:ascii="宋体" w:hAnsi="宋体" w:cs="宋体"/>
          <w:b w:val="0"/>
          <w:bCs w:val="0"/>
          <w:strike w:val="0"/>
          <w:color w:val="auto"/>
          <w:sz w:val="28"/>
          <w:szCs w:val="28"/>
          <w:lang w:val="en-US" w:eastAsia="zh-CN"/>
        </w:rPr>
        <w:t>维修改造项目的</w:t>
      </w:r>
      <w:r>
        <w:rPr>
          <w:rFonts w:hint="eastAsia" w:ascii="宋体" w:hAnsi="宋体" w:eastAsia="宋体" w:cs="宋体"/>
          <w:b w:val="0"/>
          <w:bCs w:val="0"/>
          <w:color w:val="auto"/>
          <w:sz w:val="28"/>
          <w:szCs w:val="28"/>
          <w:highlight w:val="none"/>
          <w:lang w:val="en-US" w:eastAsia="zh-CN"/>
        </w:rPr>
        <w:t>具</w:t>
      </w:r>
      <w:r>
        <w:rPr>
          <w:rFonts w:hint="eastAsia" w:ascii="宋体" w:hAnsi="宋体" w:eastAsia="宋体" w:cs="宋体"/>
          <w:color w:val="auto"/>
          <w:sz w:val="28"/>
          <w:szCs w:val="28"/>
          <w:highlight w:val="none"/>
          <w:lang w:val="en-US" w:eastAsia="zh-CN"/>
        </w:rPr>
        <w:t>体实施情况进行跟踪，未对实施进度、验收质量进行监管。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（2）部分</w:t>
      </w:r>
      <w:r>
        <w:rPr>
          <w:rFonts w:hint="eastAsia" w:ascii="宋体" w:hAnsi="宋体" w:cs="宋体"/>
          <w:b/>
          <w:bCs/>
          <w:strike w:val="0"/>
          <w:color w:val="auto"/>
          <w:sz w:val="28"/>
          <w:szCs w:val="28"/>
          <w:lang w:val="en-US" w:eastAsia="zh-CN"/>
        </w:rPr>
        <w:t>基层工作人员</w:t>
      </w:r>
      <w:r>
        <w:rPr>
          <w:rFonts w:hint="eastAsia" w:ascii="Times New Roman" w:hAnsi="Times New Roman" w:eastAsia="宋体" w:cs="Times New Roman"/>
          <w:b/>
          <w:bCs/>
          <w:color w:val="auto"/>
          <w:kern w:val="2"/>
          <w:sz w:val="28"/>
          <w:szCs w:val="28"/>
          <w:highlight w:val="none"/>
          <w:lang w:val="en-US" w:eastAsia="zh-CN" w:bidi="ar-SA"/>
        </w:rPr>
        <w:t>履职效能偏低。</w:t>
      </w:r>
      <w:r>
        <w:rPr>
          <w:rFonts w:hint="eastAsia" w:ascii="宋体" w:hAnsi="宋体" w:eastAsia="宋体" w:cs="宋体"/>
          <w:b w:val="0"/>
          <w:bCs w:val="0"/>
          <w:color w:val="auto"/>
          <w:sz w:val="28"/>
          <w:szCs w:val="28"/>
          <w:highlight w:val="none"/>
          <w:lang w:val="en-US" w:eastAsia="zh-CN"/>
        </w:rPr>
        <w:t>由于部分退役军人服务站人员岗位变动大等原因，导致基层组织管理能力、财务核算能力较差，个别单位政治敏感性不够，完成交办工作迟缓；个别镇（街道）信访代办员、村（社区）信访信息员的设立形同虚设，没有发挥应有的作用；基</w:t>
      </w:r>
      <w:r>
        <w:rPr>
          <w:rFonts w:hint="eastAsia" w:ascii="宋体" w:hAnsi="宋体" w:cs="宋体"/>
          <w:b w:val="0"/>
          <w:bCs w:val="0"/>
          <w:strike w:val="0"/>
          <w:color w:val="auto"/>
          <w:sz w:val="28"/>
          <w:szCs w:val="28"/>
          <w:lang w:val="en-US" w:eastAsia="zh-CN"/>
        </w:rPr>
        <w:t>层工作人员</w:t>
      </w:r>
      <w:r>
        <w:rPr>
          <w:rFonts w:hint="eastAsia" w:ascii="Times New Roman" w:hAnsi="Times New Roman" w:eastAsia="宋体" w:cs="Times New Roman"/>
          <w:b w:val="0"/>
          <w:bCs w:val="0"/>
          <w:color w:val="auto"/>
          <w:kern w:val="2"/>
          <w:sz w:val="28"/>
          <w:szCs w:val="28"/>
          <w:highlight w:val="none"/>
          <w:lang w:val="en-US" w:eastAsia="zh-CN" w:bidi="ar-SA"/>
        </w:rPr>
        <w:t>履职效能较低，</w:t>
      </w:r>
      <w:r>
        <w:rPr>
          <w:rFonts w:hint="eastAsia" w:ascii="宋体" w:hAnsi="宋体" w:eastAsia="宋体" w:cs="宋体"/>
          <w:b w:val="0"/>
          <w:bCs w:val="0"/>
          <w:color w:val="auto"/>
          <w:sz w:val="28"/>
          <w:szCs w:val="28"/>
          <w:highlight w:val="none"/>
          <w:lang w:val="en-US" w:eastAsia="zh-CN"/>
        </w:rPr>
        <w:t>尚不能够满足为本区退役军人提供优质服务的需求。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9.项目未按时竣工验收，且提前交付使用。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2022年9月30日，区退役军人事务局与承包方湖南长兴建筑工程有限公司签订《云溪区军队离退休人员活动场地改造工程合同书》，合同工期为2022年10月1日开工，2022年12月31日竣工，至2023年11月尚未竣工验收，但已由区退役军人事务局作为办公场地办公。项目未按时竣工，延迟近11个月，未交工验收、办理交付使用手续，提前使用不合规。</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10.管理制度不够健全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default" w:ascii="宋体" w:hAnsi="宋体" w:eastAsia="宋体" w:cs="宋体"/>
          <w:b w:val="0"/>
          <w:bCs w:val="0"/>
          <w:sz w:val="28"/>
          <w:szCs w:val="28"/>
          <w:highlight w:val="yellow"/>
          <w:lang w:val="en-US" w:eastAsia="zh-CN"/>
        </w:rPr>
      </w:pPr>
      <w:r>
        <w:rPr>
          <w:rFonts w:hint="eastAsia" w:ascii="宋体" w:hAnsi="宋体" w:eastAsia="宋体" w:cs="宋体"/>
          <w:b w:val="0"/>
          <w:bCs w:val="0"/>
          <w:sz w:val="28"/>
          <w:szCs w:val="28"/>
          <w:highlight w:val="none"/>
          <w:lang w:val="en-US" w:eastAsia="zh-CN"/>
        </w:rPr>
        <w:t>未制订区退役军人事务局专项资金管理办法，明确各项专项资金使用范围、用途、审批程序、管理办法；未制订与区退役军人事务局相适应的固定资产管理办法，明确使用、报废、移交、出租、出借相关管理办法。</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lang w:eastAsia="zh-CN"/>
        </w:rPr>
        <w:t>（二）相关</w:t>
      </w:r>
      <w:r>
        <w:rPr>
          <w:rFonts w:hint="eastAsia" w:ascii="楷体_GB2312" w:hAnsi="Times New Roman" w:eastAsia="楷体_GB2312" w:cs="Times New Roman"/>
          <w:b/>
          <w:kern w:val="0"/>
          <w:sz w:val="32"/>
          <w:szCs w:val="32"/>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default" w:ascii="Calibri" w:hAnsi="宋体" w:cs="宋体"/>
          <w:b/>
          <w:bCs/>
          <w:sz w:val="28"/>
          <w:szCs w:val="28"/>
          <w:lang w:val="en-US" w:eastAsia="zh-CN"/>
        </w:rPr>
      </w:pPr>
      <w:r>
        <w:rPr>
          <w:rFonts w:hint="eastAsia" w:ascii="Calibri" w:hAnsi="宋体" w:cs="宋体"/>
          <w:b/>
          <w:bCs/>
          <w:sz w:val="28"/>
          <w:szCs w:val="28"/>
          <w:lang w:val="en-US" w:eastAsia="zh-CN"/>
        </w:rPr>
        <w:t>1.规范设置绩效指标，加强绩效管理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bCs/>
          <w:sz w:val="28"/>
          <w:szCs w:val="28"/>
          <w:lang w:val="en-US" w:eastAsia="zh-CN"/>
        </w:rPr>
      </w:pPr>
      <w:r>
        <w:rPr>
          <w:rFonts w:hint="eastAsia"/>
          <w:b w:val="0"/>
          <w:bCs w:val="0"/>
          <w:sz w:val="28"/>
          <w:szCs w:val="28"/>
          <w:lang w:val="en-US" w:eastAsia="zh-CN"/>
        </w:rPr>
        <w:t>区退役军人事务局相关部门应</w:t>
      </w:r>
      <w:r>
        <w:rPr>
          <w:rFonts w:hint="eastAsia" w:ascii="Calibri" w:hAnsi="宋体" w:cs="宋体"/>
          <w:b w:val="0"/>
          <w:bCs w:val="0"/>
          <w:sz w:val="28"/>
          <w:szCs w:val="28"/>
          <w:lang w:val="en-US" w:eastAsia="zh-CN"/>
        </w:rPr>
        <w:t>加强绩效管理</w:t>
      </w:r>
      <w:r>
        <w:rPr>
          <w:rFonts w:hint="eastAsia" w:ascii="Calibri" w:hAnsi="宋体" w:cs="宋体"/>
          <w:b/>
          <w:bCs/>
          <w:sz w:val="28"/>
          <w:szCs w:val="28"/>
          <w:lang w:val="en-US" w:eastAsia="zh-CN"/>
        </w:rPr>
        <w:t>，</w:t>
      </w:r>
      <w:r>
        <w:rPr>
          <w:rFonts w:hint="eastAsia"/>
          <w:b w:val="0"/>
          <w:bCs w:val="0"/>
          <w:sz w:val="28"/>
          <w:szCs w:val="28"/>
          <w:lang w:val="en-US" w:eastAsia="zh-CN"/>
        </w:rPr>
        <w:t>根据其工作职责及省、市、区退役军人事务考核、考评重点，设置中长期绩效目标及年度绩效目标；按照绩效指标设置要求，</w:t>
      </w:r>
      <w:r>
        <w:rPr>
          <w:rFonts w:hint="eastAsia" w:ascii="宋体" w:hAnsi="宋体" w:eastAsia="宋体" w:cs="宋体"/>
          <w:b w:val="0"/>
          <w:bCs w:val="0"/>
          <w:color w:val="000000"/>
          <w:sz w:val="28"/>
          <w:szCs w:val="28"/>
          <w:lang w:val="en-US" w:eastAsia="zh-CN"/>
        </w:rPr>
        <w:t>将本局全年工作目标计划内容完整纳入绩效指标考核范围，绩效指标设置应量化、细化，</w:t>
      </w:r>
      <w:r>
        <w:rPr>
          <w:rFonts w:hint="eastAsia"/>
          <w:b w:val="0"/>
          <w:bCs w:val="0"/>
          <w:sz w:val="28"/>
          <w:szCs w:val="28"/>
          <w:lang w:val="en-US" w:eastAsia="zh-CN"/>
        </w:rPr>
        <w:t>通过清晰、可衡量的指标值予以体现，并能完整反映预算资金</w:t>
      </w:r>
      <w:r>
        <w:rPr>
          <w:rFonts w:hint="eastAsia" w:ascii="宋体" w:hAnsi="宋体" w:eastAsia="宋体" w:cs="宋体"/>
          <w:b w:val="0"/>
          <w:bCs w:val="0"/>
          <w:sz w:val="28"/>
          <w:szCs w:val="28"/>
          <w:lang w:val="en-US" w:eastAsia="zh-CN"/>
        </w:rPr>
        <w:t>产出与绩效。</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2.加强预算管理，确保预算的严肃性。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trike w:val="0"/>
          <w:color w:val="auto"/>
          <w:sz w:val="28"/>
          <w:szCs w:val="28"/>
          <w:lang w:val="en-US" w:eastAsia="zh-CN"/>
        </w:rPr>
      </w:pPr>
      <w:r>
        <w:rPr>
          <w:rFonts w:hint="eastAsia" w:ascii="宋体" w:hAnsi="宋体" w:cs="宋体"/>
          <w:sz w:val="28"/>
          <w:szCs w:val="28"/>
        </w:rPr>
        <w:t>根据《中华人民共和国预算法》有关规定</w:t>
      </w:r>
      <w:r>
        <w:rPr>
          <w:rFonts w:hint="eastAsia" w:ascii="宋体" w:hAnsi="宋体" w:cs="宋体"/>
          <w:sz w:val="28"/>
          <w:szCs w:val="28"/>
          <w:lang w:eastAsia="zh-CN"/>
        </w:rPr>
        <w:t>，应</w:t>
      </w:r>
      <w:r>
        <w:rPr>
          <w:rFonts w:hint="eastAsia" w:ascii="宋体" w:hAnsi="宋体" w:cs="宋体"/>
          <w:sz w:val="28"/>
          <w:szCs w:val="28"/>
        </w:rPr>
        <w:t>先有预算、后有支出，</w:t>
      </w:r>
      <w:r>
        <w:rPr>
          <w:rFonts w:hint="eastAsia" w:ascii="宋体" w:hAnsi="宋体" w:cs="宋体"/>
          <w:sz w:val="28"/>
          <w:szCs w:val="28"/>
          <w:lang w:eastAsia="zh-CN"/>
        </w:rPr>
        <w:t>支出必须以经批准的预算为依据，未列入预算科目的</w:t>
      </w:r>
      <w:r>
        <w:rPr>
          <w:rFonts w:hint="eastAsia" w:ascii="宋体" w:hAnsi="宋体" w:cs="宋体"/>
          <w:sz w:val="28"/>
          <w:szCs w:val="28"/>
          <w:lang w:val="en-US" w:eastAsia="zh-CN"/>
        </w:rPr>
        <w:t>资金</w:t>
      </w:r>
      <w:r>
        <w:rPr>
          <w:rFonts w:hint="eastAsia" w:ascii="宋体" w:hAnsi="宋体" w:cs="宋体"/>
          <w:sz w:val="28"/>
          <w:szCs w:val="28"/>
          <w:lang w:eastAsia="zh-CN"/>
        </w:rPr>
        <w:t>不得随意列支。</w:t>
      </w:r>
      <w:r>
        <w:rPr>
          <w:rFonts w:hint="eastAsia" w:ascii="宋体" w:hAnsi="宋体" w:cs="宋体"/>
          <w:sz w:val="28"/>
          <w:szCs w:val="28"/>
          <w:lang w:val="en-US" w:eastAsia="zh-CN"/>
        </w:rPr>
        <w:t>严格</w:t>
      </w:r>
      <w:r>
        <w:rPr>
          <w:rFonts w:hint="eastAsia" w:ascii="宋体" w:hAnsi="宋体" w:cs="宋体"/>
          <w:sz w:val="28"/>
          <w:szCs w:val="28"/>
        </w:rPr>
        <w:t>按照预算科目和项目资金的规定使用财政资金，保障部门支出的规范性、制度化。坚持先有预算、后有支出，没有预算不得支出的支出理念，</w:t>
      </w:r>
      <w:r>
        <w:rPr>
          <w:rFonts w:hint="eastAsia" w:ascii="宋体" w:hAnsi="宋体" w:cs="宋体"/>
          <w:sz w:val="28"/>
          <w:szCs w:val="28"/>
          <w:lang w:eastAsia="zh-CN"/>
        </w:rPr>
        <w:t>严禁超预算。提高</w:t>
      </w:r>
      <w:r>
        <w:rPr>
          <w:rFonts w:hint="eastAsia" w:ascii="宋体" w:hAnsi="宋体" w:cs="宋体"/>
          <w:b w:val="0"/>
          <w:bCs w:val="0"/>
          <w:sz w:val="28"/>
          <w:szCs w:val="28"/>
          <w:lang w:val="en-US" w:eastAsia="zh-CN"/>
        </w:rPr>
        <w:t>申报预算准确性，严禁随意调整预算科目及金额，</w:t>
      </w:r>
      <w:r>
        <w:rPr>
          <w:rFonts w:hint="eastAsia" w:ascii="宋体" w:hAnsi="宋体" w:cs="宋体"/>
          <w:sz w:val="28"/>
          <w:szCs w:val="28"/>
        </w:rPr>
        <w:t>增强预算</w:t>
      </w:r>
      <w:r>
        <w:rPr>
          <w:rFonts w:hint="eastAsia" w:ascii="宋体" w:hAnsi="宋体" w:cs="宋体"/>
          <w:sz w:val="28"/>
          <w:szCs w:val="28"/>
          <w:lang w:eastAsia="zh-CN"/>
        </w:rPr>
        <w:t>管理</w:t>
      </w:r>
      <w:r>
        <w:rPr>
          <w:rFonts w:hint="eastAsia" w:ascii="宋体" w:hAnsi="宋体" w:cs="宋体"/>
          <w:sz w:val="28"/>
          <w:szCs w:val="28"/>
        </w:rPr>
        <w:t>意识</w:t>
      </w:r>
      <w:r>
        <w:rPr>
          <w:rFonts w:hint="eastAsia" w:ascii="宋体" w:hAnsi="宋体" w:cs="宋体"/>
          <w:sz w:val="28"/>
          <w:szCs w:val="28"/>
          <w:lang w:eastAsia="zh-CN"/>
        </w:rPr>
        <w:t>。</w:t>
      </w:r>
      <w:r>
        <w:rPr>
          <w:rFonts w:hint="eastAsia" w:ascii="宋体" w:hAnsi="宋体" w:eastAsia="宋体" w:cs="宋体"/>
          <w:b w:val="0"/>
          <w:bCs w:val="0"/>
          <w:color w:val="auto"/>
          <w:sz w:val="28"/>
          <w:szCs w:val="28"/>
          <w:lang w:val="en-US" w:eastAsia="zh-CN"/>
        </w:rPr>
        <w:t>加强“三公”经费预算控制，加强预算管理，确保预算的严肃性；建议对于超标准</w:t>
      </w:r>
      <w:r>
        <w:rPr>
          <w:rFonts w:hint="eastAsia" w:ascii="宋体" w:hAnsi="宋体" w:cs="宋体"/>
          <w:b w:val="0"/>
          <w:bCs w:val="0"/>
          <w:strike w:val="0"/>
          <w:color w:val="auto"/>
          <w:sz w:val="28"/>
          <w:szCs w:val="28"/>
          <w:lang w:val="en-US" w:eastAsia="zh-CN"/>
        </w:rPr>
        <w:t>拨付光荣院优抚经费加强管理，在下年预算时进行抵减。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3.加强对工会经费拨付管理。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根据湖南省总工会印发《湖南省基层工会经费收支管理实施细则》，区退役军人事务局应制定年度工会工作计划，依法、真实、完整、合理地编制工会经费年度预算，依法履行必要程序后报上级工会批准。行政经费补充拨付工会经费时，应审核资金用途，按要求提供工会举办活动方案（含经费预算）、通知、签到册等。确保支付依据充分，会计凭证附件完整、真实、准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4.制订专项资金管理办法，加强专项资金管理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 w:val="0"/>
          <w:bCs w:val="0"/>
          <w:color w:val="auto"/>
          <w:kern w:val="2"/>
          <w:sz w:val="28"/>
          <w:szCs w:val="28"/>
          <w:highlight w:val="none"/>
          <w:lang w:val="en-US" w:eastAsia="zh-CN" w:bidi="ar-SA"/>
        </w:rPr>
      </w:pPr>
      <w:r>
        <w:rPr>
          <w:rFonts w:hint="eastAsia" w:ascii="Times New Roman" w:hAnsi="Times New Roman" w:eastAsia="宋体" w:cs="Times New Roman"/>
          <w:b w:val="0"/>
          <w:bCs w:val="0"/>
          <w:color w:val="auto"/>
          <w:kern w:val="2"/>
          <w:sz w:val="28"/>
          <w:szCs w:val="28"/>
          <w:highlight w:val="none"/>
          <w:lang w:val="en-US" w:eastAsia="zh-CN" w:bidi="ar-SA"/>
        </w:rPr>
        <w:t>区退役军人事务局应针对本单位专项资金种类多等特点，制订专项资金管理办法，明确各类资金分配办法、补助对象、管理部门、使用标准、范围，明确核算要求、审批程序、违规处罚处分规定等，严禁改变资金用途，挤占挪用等违规行为。加强对专项资金的管理，做到专项资金专款专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b w:val="0"/>
          <w:bCs w:val="0"/>
          <w:color w:val="auto"/>
          <w:kern w:val="2"/>
          <w:sz w:val="28"/>
          <w:szCs w:val="28"/>
          <w:highlight w:val="none"/>
          <w:lang w:val="en-US" w:eastAsia="zh-CN" w:bidi="ar-SA"/>
        </w:rPr>
      </w:pPr>
      <w:r>
        <w:rPr>
          <w:rFonts w:hint="eastAsia" w:ascii="宋体" w:hAnsi="宋体" w:cs="宋体"/>
          <w:b w:val="0"/>
          <w:bCs w:val="0"/>
          <w:strike w:val="0"/>
          <w:color w:val="auto"/>
          <w:sz w:val="28"/>
          <w:szCs w:val="28"/>
          <w:lang w:val="en-US" w:eastAsia="zh-CN"/>
        </w:rPr>
        <w:t>加强对各镇（街道）“解三难”资金、基层能力建设经费、服务体系运行补助经费、结余资金的管理与清查，严禁挤占、挪用专项补助资金。加强对各镇（街道）财务人员培训，督促建立资金台帐，合理使用会计科目，保障财政资金使用合规、合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5.加强财务核算及管理，规范慰问现金</w:t>
      </w:r>
      <w:r>
        <w:rPr>
          <w:rFonts w:hint="eastAsia" w:ascii="宋体" w:hAnsi="宋体" w:eastAsia="宋体" w:cs="宋体"/>
          <w:b/>
          <w:bCs/>
          <w:sz w:val="28"/>
          <w:szCs w:val="28"/>
          <w:highlight w:val="none"/>
          <w:lang w:val="en-US" w:eastAsia="zh-CN"/>
        </w:rPr>
        <w:t>发放手续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b w:val="0"/>
          <w:bCs w:val="0"/>
          <w:sz w:val="28"/>
          <w:szCs w:val="28"/>
          <w:lang w:val="en-US" w:eastAsia="zh-CN"/>
        </w:rPr>
        <w:t>按支出性质和经济分类核算，基本支出与项目专项支出分别核算，准确反映财务信息；按行政事业会计制度要求，准确、规范核算会计科目，按照实际发生的业务内容记录财务信息，确保会计核算规范性、准确性、真实性</w:t>
      </w:r>
      <w:r>
        <w:rPr>
          <w:rFonts w:hint="eastAsia"/>
          <w:b/>
          <w:bCs/>
          <w:sz w:val="28"/>
          <w:szCs w:val="28"/>
          <w:lang w:val="en-US" w:eastAsia="zh-CN"/>
        </w:rPr>
        <w:t>。</w:t>
      </w:r>
      <w:r>
        <w:rPr>
          <w:rFonts w:hint="eastAsia" w:ascii="宋体" w:hAnsi="宋体" w:cs="宋体"/>
          <w:b w:val="0"/>
          <w:bCs w:val="0"/>
          <w:sz w:val="28"/>
          <w:szCs w:val="28"/>
          <w:lang w:val="en-US" w:eastAsia="zh-CN"/>
        </w:rPr>
        <w:t>提高政府会计信息质量，决算报表与财务报表数据保持一致性。慰问现金发放，发放清单应补充提供被慰问人签字证明依据，防止代领人员遗漏或被慰问人遗忘，同时保证原始凭证记录合规性，会计信息真实性、准确性、规范性。</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color w:val="auto"/>
          <w:kern w:val="0"/>
          <w:sz w:val="28"/>
          <w:szCs w:val="28"/>
          <w:lang w:val="en-US" w:eastAsia="zh-CN" w:bidi="ar-SA"/>
        </w:rPr>
        <w:t>6.加强业务管理，提高</w:t>
      </w:r>
      <w:r>
        <w:rPr>
          <w:rFonts w:hint="eastAsia" w:ascii="宋体" w:hAnsi="宋体" w:eastAsia="宋体" w:cs="宋体"/>
          <w:b/>
          <w:bCs/>
          <w:color w:val="auto"/>
          <w:kern w:val="0"/>
          <w:sz w:val="28"/>
          <w:szCs w:val="28"/>
          <w:highlight w:val="none"/>
          <w:lang w:val="en-US" w:eastAsia="zh-CN" w:bidi="ar-SA"/>
        </w:rPr>
        <w:t>履职能力</w:t>
      </w: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bidi="ar-SA"/>
        </w:rPr>
        <w:t>加强</w:t>
      </w:r>
      <w:r>
        <w:rPr>
          <w:rFonts w:hint="eastAsia" w:ascii="宋体" w:hAnsi="宋体" w:eastAsia="宋体" w:cs="宋体"/>
          <w:color w:val="auto"/>
          <w:kern w:val="0"/>
          <w:sz w:val="28"/>
          <w:szCs w:val="28"/>
          <w:lang w:val="en-US" w:eastAsia="zh-CN" w:bidi="ar-SA"/>
        </w:rPr>
        <w:t>各股室对所属业务管理与监督，</w:t>
      </w:r>
      <w:r>
        <w:rPr>
          <w:rFonts w:hint="eastAsia" w:ascii="宋体" w:hAnsi="宋体" w:eastAsia="宋体" w:cs="宋体"/>
          <w:color w:val="auto"/>
          <w:sz w:val="28"/>
          <w:szCs w:val="28"/>
          <w:highlight w:val="none"/>
          <w:lang w:val="en-US" w:eastAsia="zh-CN"/>
        </w:rPr>
        <w:t>业务相关股室对</w:t>
      </w:r>
      <w:r>
        <w:rPr>
          <w:rFonts w:hint="eastAsia" w:ascii="宋体" w:hAnsi="宋体" w:cs="宋体"/>
          <w:b w:val="0"/>
          <w:bCs w:val="0"/>
          <w:strike w:val="0"/>
          <w:color w:val="auto"/>
          <w:sz w:val="28"/>
          <w:szCs w:val="28"/>
          <w:lang w:val="en-US" w:eastAsia="zh-CN"/>
        </w:rPr>
        <w:t>光荣院维修改造项目的</w:t>
      </w:r>
      <w:r>
        <w:rPr>
          <w:rFonts w:hint="eastAsia" w:ascii="宋体" w:hAnsi="宋体" w:eastAsia="宋体" w:cs="宋体"/>
          <w:b w:val="0"/>
          <w:bCs w:val="0"/>
          <w:color w:val="auto"/>
          <w:sz w:val="28"/>
          <w:szCs w:val="28"/>
          <w:highlight w:val="none"/>
          <w:lang w:val="en-US" w:eastAsia="zh-CN"/>
        </w:rPr>
        <w:t>具</w:t>
      </w:r>
      <w:r>
        <w:rPr>
          <w:rFonts w:hint="eastAsia" w:ascii="宋体" w:hAnsi="宋体" w:eastAsia="宋体" w:cs="宋体"/>
          <w:color w:val="auto"/>
          <w:sz w:val="28"/>
          <w:szCs w:val="28"/>
          <w:highlight w:val="none"/>
          <w:lang w:val="en-US" w:eastAsia="zh-CN"/>
        </w:rPr>
        <w:t>体实施情况进行跟踪，对实施进度、验收质量进行监管；局财务部门对拨付资金使用情况监管。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加强对</w:t>
      </w:r>
      <w:r>
        <w:rPr>
          <w:rFonts w:hint="eastAsia" w:ascii="宋体" w:hAnsi="宋体" w:cs="宋体"/>
          <w:b w:val="0"/>
          <w:bCs w:val="0"/>
          <w:strike w:val="0"/>
          <w:color w:val="auto"/>
          <w:sz w:val="28"/>
          <w:szCs w:val="28"/>
          <w:lang w:val="en-US" w:eastAsia="zh-CN"/>
        </w:rPr>
        <w:t>基层工作人员业务</w:t>
      </w:r>
      <w:r>
        <w:rPr>
          <w:rFonts w:hint="eastAsia" w:ascii="宋体" w:hAnsi="宋体" w:eastAsia="宋体" w:cs="宋体"/>
          <w:b w:val="0"/>
          <w:bCs w:val="0"/>
          <w:color w:val="auto"/>
          <w:sz w:val="28"/>
          <w:szCs w:val="28"/>
          <w:highlight w:val="none"/>
          <w:lang w:val="en-US" w:eastAsia="zh-CN"/>
        </w:rPr>
        <w:t>培训，提升退役军人服务站组织管理能力、财务核算能力，稳定基</w:t>
      </w:r>
      <w:r>
        <w:rPr>
          <w:rFonts w:hint="eastAsia" w:ascii="宋体" w:hAnsi="宋体" w:cs="宋体"/>
          <w:b w:val="0"/>
          <w:bCs w:val="0"/>
          <w:strike w:val="0"/>
          <w:color w:val="auto"/>
          <w:sz w:val="28"/>
          <w:szCs w:val="28"/>
          <w:lang w:val="en-US" w:eastAsia="zh-CN"/>
        </w:rPr>
        <w:t>层工作人员队伍，明确其职能职责，</w:t>
      </w:r>
      <w:r>
        <w:rPr>
          <w:rFonts w:hint="eastAsia" w:ascii="宋体" w:hAnsi="宋体" w:eastAsia="宋体" w:cs="宋体"/>
          <w:b w:val="0"/>
          <w:bCs w:val="0"/>
          <w:color w:val="auto"/>
          <w:sz w:val="28"/>
          <w:szCs w:val="28"/>
          <w:highlight w:val="none"/>
          <w:lang w:val="en-US" w:eastAsia="zh-CN"/>
        </w:rPr>
        <w:t>加强督导、考核、管理，</w:t>
      </w:r>
      <w:r>
        <w:rPr>
          <w:rFonts w:hint="eastAsia" w:ascii="宋体" w:hAnsi="宋体" w:cs="宋体"/>
          <w:b w:val="0"/>
          <w:bCs w:val="0"/>
          <w:strike w:val="0"/>
          <w:color w:val="auto"/>
          <w:sz w:val="28"/>
          <w:szCs w:val="28"/>
          <w:lang w:val="en-US" w:eastAsia="zh-CN"/>
        </w:rPr>
        <w:t>提升其</w:t>
      </w:r>
      <w:r>
        <w:rPr>
          <w:rFonts w:hint="eastAsia" w:ascii="Times New Roman" w:hAnsi="Times New Roman" w:eastAsia="宋体" w:cs="Times New Roman"/>
          <w:b w:val="0"/>
          <w:bCs w:val="0"/>
          <w:color w:val="auto"/>
          <w:kern w:val="2"/>
          <w:sz w:val="28"/>
          <w:szCs w:val="28"/>
          <w:highlight w:val="none"/>
          <w:lang w:val="en-US" w:eastAsia="zh-CN" w:bidi="ar-SA"/>
        </w:rPr>
        <w:t>履职效能，</w:t>
      </w:r>
      <w:r>
        <w:rPr>
          <w:rFonts w:hint="eastAsia" w:ascii="宋体" w:hAnsi="宋体" w:eastAsia="宋体" w:cs="宋体"/>
          <w:b w:val="0"/>
          <w:bCs w:val="0"/>
          <w:color w:val="auto"/>
          <w:sz w:val="28"/>
          <w:szCs w:val="28"/>
          <w:highlight w:val="none"/>
          <w:lang w:val="en-US" w:eastAsia="zh-CN"/>
        </w:rPr>
        <w:t>让个别镇（街道）信访代办员、村（社区）信访信息员发挥应有的作用，为本区退役军人提供优质服务。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7.加快办理竣工</w:t>
      </w:r>
      <w:r>
        <w:rPr>
          <w:rFonts w:hint="default" w:ascii="宋体" w:hAnsi="宋体" w:cs="宋体"/>
          <w:b/>
          <w:bCs/>
          <w:sz w:val="28"/>
          <w:szCs w:val="28"/>
          <w:lang w:val="en-US" w:eastAsia="zh-CN"/>
        </w:rPr>
        <w:t>验收</w:t>
      </w:r>
      <w:r>
        <w:rPr>
          <w:rFonts w:hint="eastAsia" w:ascii="宋体" w:hAnsi="宋体" w:cs="宋体"/>
          <w:b/>
          <w:bCs/>
          <w:sz w:val="28"/>
          <w:szCs w:val="28"/>
          <w:lang w:val="en-US" w:eastAsia="zh-CN"/>
        </w:rPr>
        <w:t>及交接手续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按照合同，离退休干部活动场地建设应于2022年12月竣工，2023年5月已交付使用，至2023年11月中旬仍未进行竣工验收结算。</w:t>
      </w:r>
      <w:r>
        <w:rPr>
          <w:rFonts w:hint="eastAsia" w:ascii="宋体" w:hAnsi="宋体" w:cs="宋体"/>
          <w:b w:val="0"/>
          <w:bCs w:val="0"/>
          <w:sz w:val="28"/>
          <w:szCs w:val="28"/>
          <w:lang w:val="en-US" w:eastAsia="zh-CN"/>
        </w:rPr>
        <w:t>区退役军人事务局应督促离退休干部活动场地建设项目单位尽快办理竣工验收及财政评审、结算审计等工作，按照交付使用程序，办理交付使用手续，保障项目使用合规性、合法性。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8.尽快落实优待目录清单，让优抚对象尽快享受到应有待遇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区退役军人事务局积极推进《湖南省军人军属、退役军人和其他优抚对象基本优待目录清单》在云溪落地。根据《关于加强军人军属、退役军人和其他优抚对象优待工作的意见》，结合云溪区实际，加快进度，制订好时间规划及实施方案，协调各个相关部门尽快让本区军人军属、退役军人和其他优抚对象尽快享受到应有待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9.进一步健全“阳光安置”工作机制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进一步健全“阳光安置”工作机制，提高安置质量。加强退役军人就业服务指导，推动退役军人返乡回乡就业创业参与乡村振兴战略，鼓励民营企业招用退役军人。完善退役军人教育培训、就业创业基础信息管理工作，指导开展职业技能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楷体_GB2312" w:hAnsi="Times New Roman" w:eastAsia="楷体_GB2312" w:cs="Times New Roman"/>
          <w:b/>
          <w:kern w:val="0"/>
          <w:sz w:val="32"/>
          <w:szCs w:val="32"/>
          <w:lang w:val="en-US" w:eastAsia="zh-CN"/>
        </w:rPr>
      </w:pPr>
      <w:r>
        <w:rPr>
          <w:rFonts w:hint="eastAsia" w:ascii="宋体" w:hAnsi="宋体" w:eastAsia="宋体" w:cs="宋体"/>
          <w:b/>
          <w:sz w:val="30"/>
          <w:szCs w:val="30"/>
          <w:lang w:val="en-US" w:eastAsia="zh-CN"/>
        </w:rPr>
        <w:t>七、其他需要说明的问题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楷体_GB2312" w:hAnsi="Times New Roman" w:eastAsia="楷体_GB2312" w:cs="Times New Roman"/>
          <w:b/>
          <w:kern w:val="0"/>
          <w:sz w:val="32"/>
          <w:szCs w:val="32"/>
          <w:lang w:val="en-US" w:eastAsia="zh-CN"/>
        </w:rPr>
      </w:pPr>
      <w:r>
        <w:rPr>
          <w:rFonts w:hint="eastAsia" w:ascii="楷体_GB2312" w:hAnsi="Times New Roman" w:eastAsia="楷体_GB2312" w:cs="Times New Roman"/>
          <w:b/>
          <w:kern w:val="0"/>
          <w:sz w:val="30"/>
          <w:szCs w:val="30"/>
          <w:lang w:val="en-US" w:eastAsia="zh-CN"/>
        </w:rPr>
        <w:t>（一）本报告的局限性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b w:val="0"/>
          <w:bCs/>
          <w:color w:val="auto"/>
          <w:kern w:val="2"/>
          <w:sz w:val="28"/>
          <w:szCs w:val="28"/>
          <w:lang w:val="en-US" w:eastAsia="zh-CN" w:bidi="ar-SA"/>
        </w:rPr>
        <w:t>本报告所基于的数据具有一定的局限性，主要体现在以下两个方面：一是本次评价所收集数据的真实性是基于区退役军人事务局提供的资料具有真实性和可靠性，数据统计和分析工作是在假设所有信息都是在项目实施过程中实际发生的基础上进行的；二是本报告在对评价结果分析时所陈述的没有提供资料是指项目单位在评价期间未能及时向评价组提供所需资料，不代表项目单位在项目实施过程中没有收集或整理相关资料；三是</w:t>
      </w:r>
      <w:r>
        <w:rPr>
          <w:rFonts w:hint="eastAsia" w:ascii="宋体" w:hAnsi="宋体" w:eastAsia="宋体" w:cs="宋体"/>
          <w:sz w:val="28"/>
          <w:szCs w:val="28"/>
        </w:rPr>
        <w:t>调查问卷属于被调查者的主观反馈，问卷措辞可能影响被调查者的回应，问卷题目也无法给出</w:t>
      </w:r>
      <w:r>
        <w:rPr>
          <w:rFonts w:hint="eastAsia" w:ascii="宋体" w:hAnsi="宋体" w:eastAsia="宋体" w:cs="宋体"/>
          <w:sz w:val="28"/>
          <w:szCs w:val="28"/>
          <w:lang w:val="en-US" w:eastAsia="zh-CN"/>
        </w:rPr>
        <w:t>所述事项的</w:t>
      </w:r>
      <w:r>
        <w:rPr>
          <w:rFonts w:hint="eastAsia" w:ascii="宋体" w:hAnsi="宋体" w:eastAsia="宋体" w:cs="宋体"/>
          <w:sz w:val="28"/>
          <w:szCs w:val="28"/>
        </w:rPr>
        <w:t>全貌，不能完全真实反映本项目实际效果</w:t>
      </w:r>
      <w:r>
        <w:rPr>
          <w:rFonts w:hint="eastAsia" w:ascii="宋体" w:hAnsi="宋体" w:eastAsia="宋体" w:cs="宋体"/>
          <w:sz w:val="28"/>
          <w:szCs w:val="28"/>
          <w:lang w:eastAsia="zh-CN"/>
        </w:rPr>
        <w:t>，</w:t>
      </w:r>
      <w:r>
        <w:rPr>
          <w:rFonts w:hint="eastAsia" w:ascii="宋体" w:hAnsi="宋体" w:eastAsia="宋体" w:cs="宋体"/>
          <w:sz w:val="28"/>
          <w:szCs w:val="28"/>
        </w:rPr>
        <w:t>其满意度调查受到</w:t>
      </w:r>
      <w:r>
        <w:rPr>
          <w:rFonts w:hint="eastAsia" w:ascii="宋体" w:hAnsi="宋体" w:eastAsia="宋体" w:cs="宋体"/>
          <w:sz w:val="28"/>
          <w:szCs w:val="28"/>
          <w:lang w:eastAsia="zh-CN"/>
        </w:rPr>
        <w:t>一定</w:t>
      </w:r>
      <w:r>
        <w:rPr>
          <w:rFonts w:hint="eastAsia" w:ascii="宋体" w:hAnsi="宋体" w:eastAsia="宋体" w:cs="宋体"/>
          <w:sz w:val="28"/>
          <w:szCs w:val="28"/>
        </w:rPr>
        <w:t>限制。</w:t>
      </w:r>
    </w:p>
    <w:p>
      <w:pPr>
        <w:widowControl/>
        <w:shd w:val="clear" w:color="auto" w:fill="FFFFFF"/>
        <w:spacing w:line="660" w:lineRule="exact"/>
        <w:ind w:firstLine="602" w:firstLineChars="200"/>
        <w:rPr>
          <w:rFonts w:hint="eastAsia" w:ascii="楷体_GB2312" w:hAnsi="Times New Roman" w:eastAsia="楷体_GB2312" w:cs="Times New Roman"/>
          <w:b/>
          <w:kern w:val="0"/>
          <w:sz w:val="32"/>
          <w:szCs w:val="32"/>
          <w:lang w:val="en-US" w:eastAsia="zh-CN"/>
        </w:rPr>
      </w:pPr>
      <w:r>
        <w:rPr>
          <w:rFonts w:hint="eastAsia" w:ascii="楷体_GB2312" w:hAnsi="Times New Roman" w:eastAsia="楷体_GB2312" w:cs="Times New Roman"/>
          <w:b/>
          <w:kern w:val="0"/>
          <w:sz w:val="30"/>
          <w:szCs w:val="30"/>
          <w:lang w:eastAsia="zh-CN"/>
        </w:rPr>
        <w:t>（</w:t>
      </w:r>
      <w:r>
        <w:rPr>
          <w:rFonts w:hint="eastAsia" w:ascii="楷体_GB2312" w:hAnsi="Times New Roman" w:eastAsia="楷体_GB2312" w:cs="Times New Roman"/>
          <w:b/>
          <w:kern w:val="0"/>
          <w:sz w:val="30"/>
          <w:szCs w:val="30"/>
          <w:lang w:val="en-US" w:eastAsia="zh-CN"/>
        </w:rPr>
        <w:t>二）</w:t>
      </w:r>
      <w:r>
        <w:rPr>
          <w:rFonts w:hint="eastAsia" w:ascii="楷体_GB2312" w:hAnsi="Times New Roman" w:eastAsia="楷体_GB2312" w:cs="Times New Roman"/>
          <w:b/>
          <w:kern w:val="0"/>
          <w:sz w:val="30"/>
          <w:szCs w:val="30"/>
        </w:rPr>
        <w:t>本报告</w:t>
      </w:r>
      <w:r>
        <w:rPr>
          <w:rFonts w:hint="eastAsia" w:ascii="楷体_GB2312" w:hAnsi="Times New Roman" w:eastAsia="楷体_GB2312" w:cs="Times New Roman"/>
          <w:b/>
          <w:kern w:val="0"/>
          <w:sz w:val="30"/>
          <w:szCs w:val="30"/>
          <w:lang w:val="en-US" w:eastAsia="zh-CN"/>
        </w:rPr>
        <w:t>用途说明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仅供</w:t>
      </w:r>
      <w:r>
        <w:rPr>
          <w:rFonts w:hint="eastAsia" w:ascii="宋体" w:hAnsi="宋体" w:eastAsia="宋体" w:cs="宋体"/>
          <w:sz w:val="28"/>
          <w:szCs w:val="28"/>
          <w:lang w:val="en-US" w:eastAsia="zh-CN"/>
        </w:rPr>
        <w:t>云溪区</w:t>
      </w:r>
      <w:r>
        <w:rPr>
          <w:rFonts w:hint="eastAsia" w:ascii="宋体" w:hAnsi="宋体" w:eastAsia="宋体" w:cs="宋体"/>
          <w:sz w:val="28"/>
          <w:szCs w:val="28"/>
        </w:rPr>
        <w:t>财政局</w:t>
      </w:r>
      <w:r>
        <w:rPr>
          <w:rFonts w:hint="eastAsia" w:ascii="宋体" w:hAnsi="宋体" w:eastAsia="宋体" w:cs="宋体"/>
          <w:sz w:val="28"/>
          <w:szCs w:val="28"/>
          <w:lang w:val="en-US" w:eastAsia="zh-CN"/>
        </w:rPr>
        <w:t>对区退役军人事务局2022年整体支出</w:t>
      </w:r>
      <w:r>
        <w:rPr>
          <w:rFonts w:hint="eastAsia" w:ascii="宋体" w:hAnsi="宋体" w:eastAsia="宋体" w:cs="宋体"/>
          <w:sz w:val="28"/>
          <w:szCs w:val="28"/>
          <w:lang w:eastAsia="zh-CN"/>
        </w:rPr>
        <w:t>绩效评价</w:t>
      </w:r>
      <w:r>
        <w:rPr>
          <w:rFonts w:hint="eastAsia" w:ascii="宋体" w:hAnsi="宋体" w:eastAsia="宋体" w:cs="宋体"/>
          <w:sz w:val="28"/>
          <w:szCs w:val="28"/>
          <w:lang w:val="en-US" w:eastAsia="zh-CN"/>
        </w:rPr>
        <w:t>所用</w:t>
      </w:r>
      <w:r>
        <w:rPr>
          <w:rFonts w:hint="eastAsia" w:ascii="宋体" w:hAnsi="宋体" w:eastAsia="宋体" w:cs="宋体"/>
          <w:sz w:val="28"/>
          <w:szCs w:val="28"/>
          <w:lang w:eastAsia="zh-CN"/>
        </w:rPr>
        <w:t>，不能作为其他用途。因使用不当造成任何后果与本报告</w:t>
      </w:r>
      <w:r>
        <w:rPr>
          <w:rFonts w:hint="eastAsia" w:ascii="宋体" w:hAnsi="宋体" w:eastAsia="宋体" w:cs="宋体"/>
          <w:sz w:val="28"/>
          <w:szCs w:val="28"/>
        </w:rPr>
        <w:t>执业注册会计师及本事务所无关。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0"/>
        <w:rPr>
          <w:rFonts w:hint="eastAsia" w:ascii="宋体" w:hAnsi="宋体" w:eastAsia="宋体" w:cs="宋体"/>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0"/>
        <w:rPr>
          <w:rFonts w:hint="eastAsia" w:ascii="宋体" w:hAnsi="宋体"/>
          <w:sz w:val="24"/>
          <w:szCs w:val="24"/>
        </w:rPr>
      </w:pP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1.云溪区退役军人事务局2022年整体支出绩效指标体系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2.云溪区退役军人事务局2022年整体支出绩效评分表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3.绩效评价工作小组人员名单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4.问卷调查</w:t>
      </w:r>
    </w:p>
    <w:p>
      <w:pPr>
        <w:ind w:firstLine="1400" w:firstLineChars="500"/>
        <w:rPr>
          <w:rFonts w:hint="eastAsia" w:ascii="宋体" w:hAnsi="宋体"/>
          <w:color w:val="000000"/>
          <w:sz w:val="28"/>
          <w:szCs w:val="28"/>
        </w:rPr>
      </w:pPr>
    </w:p>
    <w:p>
      <w:pPr>
        <w:spacing w:line="300" w:lineRule="auto"/>
        <w:ind w:firstLine="840" w:firstLineChars="300"/>
        <w:rPr>
          <w:rFonts w:hint="eastAsia" w:ascii="宋体" w:hAnsi="宋体" w:eastAsia="宋体"/>
          <w:color w:val="000000"/>
          <w:sz w:val="28"/>
          <w:szCs w:val="28"/>
          <w:lang w:eastAsia="zh-CN"/>
        </w:rPr>
      </w:pP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r>
        <w:rPr>
          <w:rFonts w:hint="eastAsia" w:ascii="宋体" w:hAnsi="宋体"/>
          <w:color w:val="000000"/>
          <w:sz w:val="28"/>
          <w:szCs w:val="28"/>
        </w:rPr>
        <w:t>湖南恒兴联合                 中国注册会计师:</w:t>
      </w:r>
    </w:p>
    <w:p>
      <w:pPr>
        <w:spacing w:line="300" w:lineRule="auto"/>
        <w:ind w:firstLine="560" w:firstLineChars="200"/>
        <w:rPr>
          <w:rFonts w:hint="eastAsia" w:ascii="宋体" w:hAnsi="宋体"/>
          <w:color w:val="000000"/>
          <w:sz w:val="28"/>
          <w:szCs w:val="28"/>
        </w:rPr>
      </w:pPr>
    </w:p>
    <w:p>
      <w:pPr>
        <w:spacing w:line="300" w:lineRule="auto"/>
        <w:ind w:firstLine="840" w:firstLineChars="300"/>
        <w:rPr>
          <w:rFonts w:hint="eastAsia" w:ascii="宋体" w:hAnsi="宋体"/>
          <w:sz w:val="28"/>
          <w:szCs w:val="28"/>
        </w:rPr>
      </w:pPr>
      <w:r>
        <w:rPr>
          <w:rFonts w:hint="eastAsia" w:ascii="宋体" w:hAnsi="宋体"/>
          <w:color w:val="000000"/>
          <w:sz w:val="28"/>
          <w:szCs w:val="28"/>
        </w:rPr>
        <w:t>会计师事务所                 中国注册会计师：</w:t>
      </w:r>
    </w:p>
    <w:p>
      <w:pPr>
        <w:spacing w:line="1000" w:lineRule="exact"/>
        <w:ind w:firstLine="840" w:firstLineChars="300"/>
        <w:rPr>
          <w:rFonts w:hint="eastAsia"/>
          <w:lang w:val="en-US" w:eastAsia="zh-CN"/>
        </w:rPr>
      </w:pPr>
      <w:r>
        <w:rPr>
          <w:rFonts w:hint="eastAsia" w:ascii="宋体" w:hAnsi="宋体"/>
          <w:color w:val="000000"/>
          <w:sz w:val="28"/>
          <w:szCs w:val="28"/>
        </w:rPr>
        <w:t>湖南.岳阳                 二0</w:t>
      </w:r>
      <w:r>
        <w:rPr>
          <w:rFonts w:hint="eastAsia" w:ascii="宋体" w:hAnsi="宋体"/>
          <w:color w:val="000000"/>
          <w:sz w:val="28"/>
          <w:szCs w:val="28"/>
          <w:lang w:eastAsia="zh-CN"/>
        </w:rPr>
        <w:t>二</w:t>
      </w:r>
      <w:r>
        <w:rPr>
          <w:rFonts w:hint="eastAsia" w:ascii="宋体" w:hAnsi="宋体"/>
          <w:color w:val="000000"/>
          <w:sz w:val="28"/>
          <w:szCs w:val="28"/>
          <w:lang w:val="en-US" w:eastAsia="zh-CN"/>
        </w:rPr>
        <w:t>三</w:t>
      </w:r>
      <w:r>
        <w:rPr>
          <w:rFonts w:hint="eastAsia" w:ascii="宋体" w:hAnsi="宋体"/>
          <w:color w:val="000000"/>
          <w:sz w:val="28"/>
          <w:szCs w:val="28"/>
        </w:rPr>
        <w:t>年</w:t>
      </w:r>
      <w:r>
        <w:rPr>
          <w:rFonts w:hint="eastAsia" w:ascii="宋体" w:hAnsi="宋体"/>
          <w:color w:val="000000"/>
          <w:sz w:val="28"/>
          <w:szCs w:val="28"/>
          <w:lang w:val="en-US" w:eastAsia="zh-CN"/>
        </w:rPr>
        <w:t>十一</w:t>
      </w:r>
      <w:r>
        <w:rPr>
          <w:rFonts w:hint="eastAsia" w:ascii="宋体" w:hAnsi="宋体"/>
          <w:color w:val="000000"/>
          <w:sz w:val="28"/>
          <w:szCs w:val="28"/>
        </w:rPr>
        <w:t>月十日</w:t>
      </w:r>
    </w:p>
    <w:p>
      <w:pPr>
        <w:numPr>
          <w:ilvl w:val="0"/>
          <w:numId w:val="0"/>
        </w:numPr>
        <w:rPr>
          <w:sz w:val="32"/>
          <w:szCs w:val="32"/>
        </w:rPr>
      </w:pPr>
    </w:p>
    <w:p>
      <w:pPr>
        <w:autoSpaceDE w:val="0"/>
        <w:autoSpaceDN w:val="0"/>
        <w:adjustRightInd w:val="0"/>
        <w:rPr>
          <w:rFonts w:hint="eastAsia"/>
          <w:b/>
          <w:sz w:val="28"/>
          <w:szCs w:val="28"/>
        </w:rPr>
      </w:pPr>
    </w:p>
    <w:sectPr>
      <w:headerReference r:id="rId7" w:type="default"/>
      <w:footerReference r:id="rId8" w:type="default"/>
      <w:pgSz w:w="11906" w:h="16838"/>
      <w:pgMar w:top="1440" w:right="1644" w:bottom="1247" w:left="164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楷体" w:hAnsi="楷体" w:eastAsia="楷体" w:cs="楷体"/>
        <w:lang w:val="en-US" w:eastAsia="zh-CN"/>
      </w:rPr>
    </w:pPr>
    <w:r>
      <w:rPr>
        <w:rFonts w:hint="eastAsia" w:ascii="楷体" w:hAnsi="楷体" w:eastAsia="楷体" w:cs="楷体"/>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楷体" w:hAnsi="楷体" w:eastAsia="楷体" w:cs="楷体"/>
                              <w:lang w:eastAsia="zh-CN"/>
                            </w:rPr>
                          </w:pP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tTskBAACa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z61OyQEAAJoDAAAOAAAAAAAAAAEAIAAAAB4BAABkcnMvZTJvRG9j&#10;LnhtbFBLBQYAAAAABgAGAFkBAABZBQAAAAA=&#10;">
              <v:fill on="f" focussize="0,0"/>
              <v:stroke on="f"/>
              <v:imagedata o:title=""/>
              <o:lock v:ext="edit" aspectratio="f"/>
              <v:textbox inset="0mm,0mm,0mm,0mm" style="mso-fit-shape-to-text:t;">
                <w:txbxContent>
                  <w:p>
                    <w:pPr>
                      <w:pStyle w:val="17"/>
                      <w:rPr>
                        <w:rFonts w:hint="eastAsia" w:ascii="楷体" w:hAnsi="楷体" w:eastAsia="楷体" w:cs="楷体"/>
                        <w:lang w:eastAsia="zh-CN"/>
                      </w:rPr>
                    </w:pPr>
                  </w:p>
                </w:txbxContent>
              </v:textbox>
            </v:shape>
          </w:pict>
        </mc:Fallback>
      </mc:AlternateContent>
    </w:r>
    <w:r>
      <w:rPr>
        <w:rFonts w:hint="eastAsia" w:ascii="楷体" w:hAnsi="楷体" w:eastAsia="楷体" w:cs="楷体"/>
        <w:lang w:val="en-US" w:eastAsia="zh-CN"/>
      </w:rPr>
      <w:t>湖 南 恒 兴 联 合 会 计 师 事 务 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楷体" w:hAnsi="楷体" w:eastAsia="楷体" w:cs="楷体"/>
        <w:lang w:val="en-US" w:eastAsia="zh-CN"/>
      </w:rPr>
    </w:pPr>
    <w:r>
      <w:rPr>
        <w:rFonts w:hint="eastAsia" w:ascii="楷体" w:hAnsi="楷体" w:eastAsia="楷体" w:cs="楷体"/>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37</w:t>
                          </w:r>
                          <w:r>
                            <w:rPr>
                              <w:rFonts w:hint="eastAsia" w:ascii="楷体" w:hAnsi="楷体" w:eastAsia="楷体" w:cs="楷体"/>
                              <w:lang w:eastAsia="zh-CN"/>
                            </w:rPr>
                            <w:t xml:space="preserve"> 页</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8XZt8BAAC/AwAADgAAAGRycy9lMm9Eb2MueG1srVPNjtMwEL4j8Q6W&#10;7zRpk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Y8XZt8BAAC/AwAADgAAAAAA&#10;AAABACAAAAAeAQAAZHJzL2Uyb0RvYy54bWxQSwUGAAAAAAYABgBZAQAAbwUAAAAA&#10;">
              <v:fill on="f" focussize="0,0"/>
              <v:stroke on="f"/>
              <v:imagedata o:title=""/>
              <o:lock v:ext="edit" aspectratio="f"/>
              <v:textbox inset="0mm,0mm,0mm,0mm" style="mso-fit-shape-to-text:t;">
                <w:txbxContent>
                  <w:p>
                    <w:pPr>
                      <w:pStyle w:val="17"/>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37</w:t>
                    </w:r>
                    <w:r>
                      <w:rPr>
                        <w:rFonts w:hint="eastAsia" w:ascii="楷体" w:hAnsi="楷体" w:eastAsia="楷体" w:cs="楷体"/>
                        <w:lang w:eastAsia="zh-CN"/>
                      </w:rPr>
                      <w:t xml:space="preserve"> 页</w:t>
                    </w:r>
                  </w:p>
                </w:txbxContent>
              </v:textbox>
            </v:shape>
          </w:pict>
        </mc:Fallback>
      </mc:AlternateContent>
    </w:r>
    <w:r>
      <w:rPr>
        <w:rFonts w:hint="eastAsia" w:ascii="楷体" w:hAnsi="楷体" w:eastAsia="楷体" w:cs="楷体"/>
        <w:lang w:val="en-US" w:eastAsia="zh-CN"/>
      </w:rPr>
      <w:t>湖 南 恒 兴 联 合 会 计 师 事 务 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rPr>
        <w:rFonts w:hint="eastAsia" w:ascii="楷体" w:hAnsi="楷体" w:eastAsia="楷体" w:cs="楷体"/>
        <w:b/>
      </w:rPr>
    </w:pPr>
  </w:p>
  <w:p>
    <w:pPr>
      <w:pStyle w:val="18"/>
      <w:pBdr>
        <w:bottom w:val="none" w:color="auto" w:sz="0" w:space="0"/>
      </w:pBdr>
    </w:pPr>
  </w:p>
  <w:p>
    <w:pPr>
      <w:pStyle w:val="18"/>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right"/>
      <w:rPr>
        <w:rFonts w:hint="eastAsia" w:ascii="楷体" w:hAnsi="楷体" w:eastAsia="楷体" w:cs="楷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
        <w:lang w:eastAsia="zh-CN"/>
      </w:rPr>
      <w:t>2019年</w:t>
    </w:r>
    <w:r>
      <w:rPr>
        <w:rFonts w:hint="eastAsia" w:ascii="楷体" w:hAnsi="楷体" w:eastAsia="楷体" w:cs="楷体"/>
        <w:b/>
      </w:rPr>
      <w:t>岳阳市云溪区</w:t>
    </w:r>
    <w:r>
      <w:rPr>
        <w:rFonts w:hint="eastAsia" w:ascii="楷体" w:hAnsi="楷体" w:eastAsia="楷体" w:cs="楷体"/>
        <w:b/>
        <w:lang w:eastAsia="zh-CN"/>
      </w:rPr>
      <w:t>医疗保险中心</w:t>
    </w:r>
    <w:r>
      <w:rPr>
        <w:rFonts w:hint="eastAsia" w:ascii="楷体" w:hAnsi="楷体" w:eastAsia="楷体" w:cs="楷体"/>
        <w:b/>
      </w:rPr>
      <w:t>整体支出绩效评价报告书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b/>
      </w:rPr>
    </w:pPr>
    <w:r>
      <w:rPr>
        <w:rFonts w:hint="eastAsia" w:ascii="楷体" w:hAnsi="楷体" w:eastAsia="楷体" w:cs="楷体"/>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right"/>
      <w:rPr>
        <w:rFonts w:hint="eastAsia" w:ascii="楷体" w:hAnsi="楷体" w:eastAsia="楷体" w:cs="楷体"/>
        <w:b/>
      </w:rPr>
    </w:pPr>
    <w:r>
      <w:rPr>
        <w:rFonts w:hint="eastAsia" w:ascii="楷体" w:hAnsi="楷体" w:eastAsia="楷体" w:cs="楷体"/>
        <w:b/>
      </w:rPr>
      <w:t xml:space="preserve">                               岳阳市云溪区退役军人事务局2022年度整体支出绩效评价报告</w:t>
    </w:r>
  </w:p>
  <w:p>
    <w:pPr>
      <w:pStyle w:val="18"/>
      <w:pBdr>
        <w:bottom w:val="single" w:color="auto" w:sz="4" w:space="0"/>
      </w:pBdr>
      <w:jc w:val="right"/>
      <w:rPr>
        <w:rFonts w:hint="eastAsia" w:ascii="楷体" w:hAnsi="楷体" w:eastAsia="楷体" w:cs="楷体"/>
        <w:b/>
      </w:rPr>
    </w:pPr>
  </w:p>
  <w:p>
    <w:pPr>
      <w:pStyle w:val="18"/>
      <w:pBdr>
        <w:bottom w:val="none" w:color="auto" w:sz="0" w:space="0"/>
      </w:pBdr>
    </w:pPr>
  </w:p>
  <w:p>
    <w:pPr>
      <w:pStyle w:val="18"/>
      <w:pBdr>
        <w:bottom w:val="none" w:color="auto" w:sz="0" w:space="0"/>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0EF06"/>
    <w:multiLevelType w:val="singleLevel"/>
    <w:tmpl w:val="8430EF06"/>
    <w:lvl w:ilvl="0" w:tentative="0">
      <w:start w:val="2"/>
      <w:numFmt w:val="decimal"/>
      <w:suff w:val="nothing"/>
      <w:lvlText w:val="（%1）"/>
      <w:lvlJc w:val="left"/>
    </w:lvl>
  </w:abstractNum>
  <w:abstractNum w:abstractNumId="1">
    <w:nsid w:val="9213DB7D"/>
    <w:multiLevelType w:val="singleLevel"/>
    <w:tmpl w:val="9213DB7D"/>
    <w:lvl w:ilvl="0" w:tentative="0">
      <w:start w:val="2"/>
      <w:numFmt w:val="decimal"/>
      <w:suff w:val="nothing"/>
      <w:lvlText w:val="（%1）"/>
      <w:lvlJc w:val="left"/>
    </w:lvl>
  </w:abstractNum>
  <w:abstractNum w:abstractNumId="2">
    <w:nsid w:val="A4107C4D"/>
    <w:multiLevelType w:val="singleLevel"/>
    <w:tmpl w:val="A4107C4D"/>
    <w:lvl w:ilvl="0" w:tentative="0">
      <w:start w:val="2"/>
      <w:numFmt w:val="decimal"/>
      <w:suff w:val="nothing"/>
      <w:lvlText w:val="（%1）"/>
      <w:lvlJc w:val="left"/>
    </w:lvl>
  </w:abstractNum>
  <w:abstractNum w:abstractNumId="3">
    <w:nsid w:val="FD80D76C"/>
    <w:multiLevelType w:val="singleLevel"/>
    <w:tmpl w:val="FD80D76C"/>
    <w:lvl w:ilvl="0" w:tentative="0">
      <w:start w:val="1"/>
      <w:numFmt w:val="decimal"/>
      <w:suff w:val="nothing"/>
      <w:lvlText w:val="（%1）"/>
      <w:lvlJc w:val="left"/>
    </w:lvl>
  </w:abstractNum>
  <w:abstractNum w:abstractNumId="4">
    <w:nsid w:val="165305DD"/>
    <w:multiLevelType w:val="singleLevel"/>
    <w:tmpl w:val="165305DD"/>
    <w:lvl w:ilvl="0" w:tentative="0">
      <w:start w:val="4"/>
      <w:numFmt w:val="decimal"/>
      <w:lvlText w:val="%1."/>
      <w:lvlJc w:val="left"/>
      <w:pPr>
        <w:tabs>
          <w:tab w:val="left" w:pos="312"/>
        </w:tabs>
      </w:pPr>
    </w:lvl>
  </w:abstractNum>
  <w:abstractNum w:abstractNumId="5">
    <w:nsid w:val="1F44254B"/>
    <w:multiLevelType w:val="multilevel"/>
    <w:tmpl w:val="1F44254B"/>
    <w:lvl w:ilvl="0" w:tentative="0">
      <w:start w:val="2"/>
      <w:numFmt w:val="decimal"/>
      <w:pStyle w:val="2"/>
      <w:lvlText w:val="%1"/>
      <w:lvlJc w:val="left"/>
      <w:pPr>
        <w:tabs>
          <w:tab w:val="left" w:pos="1282"/>
        </w:tabs>
        <w:ind w:left="1282" w:hanging="432"/>
      </w:pPr>
      <w:rPr>
        <w:rFonts w:hint="eastAsia"/>
      </w:rPr>
    </w:lvl>
    <w:lvl w:ilvl="1" w:tentative="0">
      <w:start w:val="1"/>
      <w:numFmt w:val="decimal"/>
      <w:pStyle w:val="3"/>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4"/>
      <w:lvlText w:val="%1.%2.%3"/>
      <w:lvlJc w:val="left"/>
      <w:pPr>
        <w:tabs>
          <w:tab w:val="left" w:pos="1570"/>
        </w:tabs>
        <w:ind w:left="1570" w:hanging="720"/>
      </w:pPr>
      <w:rPr>
        <w:rFonts w:hint="eastAsia"/>
      </w:rPr>
    </w:lvl>
    <w:lvl w:ilvl="3" w:tentative="0">
      <w:start w:val="1"/>
      <w:numFmt w:val="decimal"/>
      <w:pStyle w:val="5"/>
      <w:lvlText w:val="%1.%2.%3.%4"/>
      <w:lvlJc w:val="left"/>
      <w:pPr>
        <w:tabs>
          <w:tab w:val="left" w:pos="1714"/>
        </w:tabs>
        <w:ind w:left="1714" w:hanging="864"/>
      </w:pPr>
      <w:rPr>
        <w:rFonts w:hint="eastAsia"/>
      </w:rPr>
    </w:lvl>
    <w:lvl w:ilvl="4" w:tentative="0">
      <w:start w:val="1"/>
      <w:numFmt w:val="decimal"/>
      <w:pStyle w:val="6"/>
      <w:lvlText w:val="%1.%2.%3.%4.%5"/>
      <w:lvlJc w:val="left"/>
      <w:pPr>
        <w:tabs>
          <w:tab w:val="left" w:pos="1858"/>
        </w:tabs>
        <w:ind w:left="1858" w:hanging="1008"/>
      </w:pPr>
      <w:rPr>
        <w:rFonts w:hint="eastAsia"/>
      </w:rPr>
    </w:lvl>
    <w:lvl w:ilvl="5" w:tentative="0">
      <w:start w:val="1"/>
      <w:numFmt w:val="decimal"/>
      <w:pStyle w:val="7"/>
      <w:isLgl/>
      <w:lvlText w:val="%1.%2.%3.%4.%5.%6"/>
      <w:lvlJc w:val="left"/>
      <w:pPr>
        <w:tabs>
          <w:tab w:val="left" w:pos="2002"/>
        </w:tabs>
        <w:ind w:left="2002" w:hanging="1152"/>
      </w:pPr>
      <w:rPr>
        <w:rFonts w:hint="eastAsia"/>
      </w:rPr>
    </w:lvl>
    <w:lvl w:ilvl="6" w:tentative="0">
      <w:start w:val="1"/>
      <w:numFmt w:val="decimal"/>
      <w:pStyle w:val="8"/>
      <w:lvlText w:val="%1.%2.%3.%4.%5.%6.%7"/>
      <w:lvlJc w:val="left"/>
      <w:pPr>
        <w:tabs>
          <w:tab w:val="left" w:pos="2146"/>
        </w:tabs>
        <w:ind w:left="2146" w:hanging="1296"/>
      </w:pPr>
      <w:rPr>
        <w:rFonts w:hint="eastAsia"/>
      </w:rPr>
    </w:lvl>
    <w:lvl w:ilvl="7" w:tentative="0">
      <w:start w:val="1"/>
      <w:numFmt w:val="decimal"/>
      <w:pStyle w:val="9"/>
      <w:lvlText w:val="%1.%2.%3.%4.%5.%6.%7.%8"/>
      <w:lvlJc w:val="left"/>
      <w:pPr>
        <w:tabs>
          <w:tab w:val="left" w:pos="2290"/>
        </w:tabs>
        <w:ind w:left="2290" w:hanging="1440"/>
      </w:pPr>
      <w:rPr>
        <w:rFonts w:hint="eastAsia"/>
      </w:rPr>
    </w:lvl>
    <w:lvl w:ilvl="8" w:tentative="0">
      <w:start w:val="1"/>
      <w:numFmt w:val="decimal"/>
      <w:pStyle w:val="10"/>
      <w:lvlText w:val="%1.%2.%3.%4.%5.%6.%7.%8.%9"/>
      <w:lvlJc w:val="left"/>
      <w:pPr>
        <w:tabs>
          <w:tab w:val="left" w:pos="2434"/>
        </w:tabs>
        <w:ind w:left="2434" w:hanging="1584"/>
      </w:pPr>
      <w:rPr>
        <w:rFonts w:hint="eastAsia"/>
      </w:rPr>
    </w:lvl>
  </w:abstractNum>
  <w:abstractNum w:abstractNumId="6">
    <w:nsid w:val="5A3336FA"/>
    <w:multiLevelType w:val="singleLevel"/>
    <w:tmpl w:val="5A3336FA"/>
    <w:lvl w:ilvl="0" w:tentative="0">
      <w:start w:val="1"/>
      <w:numFmt w:val="decimal"/>
      <w:suff w:val="nothing"/>
      <w:lvlText w:val="（%1）"/>
      <w:lvlJc w:val="left"/>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mU3NmE5YmMzZDVhY2ViNzE3Y2E1MjIxYjI5OTAifQ=="/>
  </w:docVars>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5D1"/>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4A60"/>
    <w:rsid w:val="00EB68AC"/>
    <w:rsid w:val="00EB6F57"/>
    <w:rsid w:val="00EB70D0"/>
    <w:rsid w:val="00EC2440"/>
    <w:rsid w:val="00EC5546"/>
    <w:rsid w:val="00EC5FFD"/>
    <w:rsid w:val="00ED2588"/>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75674F"/>
    <w:rsid w:val="01E565FA"/>
    <w:rsid w:val="01F00AC2"/>
    <w:rsid w:val="02154663"/>
    <w:rsid w:val="02292863"/>
    <w:rsid w:val="0239693F"/>
    <w:rsid w:val="023A042F"/>
    <w:rsid w:val="025010BB"/>
    <w:rsid w:val="02546B6C"/>
    <w:rsid w:val="029A5126"/>
    <w:rsid w:val="02D212D8"/>
    <w:rsid w:val="02D8282F"/>
    <w:rsid w:val="032231CF"/>
    <w:rsid w:val="03277754"/>
    <w:rsid w:val="032F4B07"/>
    <w:rsid w:val="03870314"/>
    <w:rsid w:val="03C07382"/>
    <w:rsid w:val="03D138BA"/>
    <w:rsid w:val="03E10EBA"/>
    <w:rsid w:val="03F655EE"/>
    <w:rsid w:val="042664DE"/>
    <w:rsid w:val="04B94F4D"/>
    <w:rsid w:val="04C21344"/>
    <w:rsid w:val="04F81DE1"/>
    <w:rsid w:val="05454338"/>
    <w:rsid w:val="05B01635"/>
    <w:rsid w:val="05E77817"/>
    <w:rsid w:val="061B04B7"/>
    <w:rsid w:val="061D2A2B"/>
    <w:rsid w:val="065151B1"/>
    <w:rsid w:val="06895999"/>
    <w:rsid w:val="06C03A9E"/>
    <w:rsid w:val="06D949CD"/>
    <w:rsid w:val="06FD08ED"/>
    <w:rsid w:val="07205A43"/>
    <w:rsid w:val="076619AB"/>
    <w:rsid w:val="077917A3"/>
    <w:rsid w:val="079E2695"/>
    <w:rsid w:val="07DB3FA1"/>
    <w:rsid w:val="08490522"/>
    <w:rsid w:val="0880218A"/>
    <w:rsid w:val="08B408A7"/>
    <w:rsid w:val="08CB2335"/>
    <w:rsid w:val="08D02FA9"/>
    <w:rsid w:val="091E7CF5"/>
    <w:rsid w:val="097A7C6C"/>
    <w:rsid w:val="097C48EB"/>
    <w:rsid w:val="09AE5935"/>
    <w:rsid w:val="09B12843"/>
    <w:rsid w:val="09DE6C10"/>
    <w:rsid w:val="0A14100E"/>
    <w:rsid w:val="0A175C31"/>
    <w:rsid w:val="0A22297D"/>
    <w:rsid w:val="0A886976"/>
    <w:rsid w:val="0ACD63C7"/>
    <w:rsid w:val="0ADC1457"/>
    <w:rsid w:val="0B1308F6"/>
    <w:rsid w:val="0B253205"/>
    <w:rsid w:val="0B25707A"/>
    <w:rsid w:val="0B440899"/>
    <w:rsid w:val="0B5F4322"/>
    <w:rsid w:val="0C1A02D7"/>
    <w:rsid w:val="0C4E061F"/>
    <w:rsid w:val="0CDD051E"/>
    <w:rsid w:val="0D107A79"/>
    <w:rsid w:val="0D167CE5"/>
    <w:rsid w:val="0D9A6380"/>
    <w:rsid w:val="0DC22EC1"/>
    <w:rsid w:val="0DFB2FB3"/>
    <w:rsid w:val="0E8A6DC2"/>
    <w:rsid w:val="0EB55CA2"/>
    <w:rsid w:val="0ECA344C"/>
    <w:rsid w:val="0EEC49DB"/>
    <w:rsid w:val="0EFD1661"/>
    <w:rsid w:val="0F21641D"/>
    <w:rsid w:val="0F40320A"/>
    <w:rsid w:val="0F75734D"/>
    <w:rsid w:val="0F8776A7"/>
    <w:rsid w:val="0FF705E9"/>
    <w:rsid w:val="10182083"/>
    <w:rsid w:val="108744B7"/>
    <w:rsid w:val="109F7C81"/>
    <w:rsid w:val="10A049A9"/>
    <w:rsid w:val="10A710B4"/>
    <w:rsid w:val="10AC2496"/>
    <w:rsid w:val="10AE050B"/>
    <w:rsid w:val="10B643FA"/>
    <w:rsid w:val="10C71AAC"/>
    <w:rsid w:val="10DA389B"/>
    <w:rsid w:val="10DA76D6"/>
    <w:rsid w:val="11325CE0"/>
    <w:rsid w:val="113A2F0E"/>
    <w:rsid w:val="117A5FAA"/>
    <w:rsid w:val="11CC2A7C"/>
    <w:rsid w:val="11FE06F3"/>
    <w:rsid w:val="12073485"/>
    <w:rsid w:val="122B2DC6"/>
    <w:rsid w:val="12335CAC"/>
    <w:rsid w:val="126F7F50"/>
    <w:rsid w:val="128B37A6"/>
    <w:rsid w:val="12E71799"/>
    <w:rsid w:val="132A7280"/>
    <w:rsid w:val="13416D96"/>
    <w:rsid w:val="13764A3E"/>
    <w:rsid w:val="13B677A9"/>
    <w:rsid w:val="13FC5C4F"/>
    <w:rsid w:val="142E526F"/>
    <w:rsid w:val="14524026"/>
    <w:rsid w:val="14A744DC"/>
    <w:rsid w:val="14AD0DD4"/>
    <w:rsid w:val="14DB4EC7"/>
    <w:rsid w:val="14F11B56"/>
    <w:rsid w:val="151D2886"/>
    <w:rsid w:val="159A0776"/>
    <w:rsid w:val="15D0626F"/>
    <w:rsid w:val="15D712D8"/>
    <w:rsid w:val="1677734A"/>
    <w:rsid w:val="168C541C"/>
    <w:rsid w:val="16FE48D3"/>
    <w:rsid w:val="17216AF1"/>
    <w:rsid w:val="17422B1D"/>
    <w:rsid w:val="176F2136"/>
    <w:rsid w:val="17A0322D"/>
    <w:rsid w:val="17EB1580"/>
    <w:rsid w:val="1817154F"/>
    <w:rsid w:val="187F4F37"/>
    <w:rsid w:val="18CB0E86"/>
    <w:rsid w:val="191A645C"/>
    <w:rsid w:val="1922698B"/>
    <w:rsid w:val="195C13A4"/>
    <w:rsid w:val="19CA12E9"/>
    <w:rsid w:val="1A2A1B57"/>
    <w:rsid w:val="1AAD32C3"/>
    <w:rsid w:val="1AC960C2"/>
    <w:rsid w:val="1AE060BE"/>
    <w:rsid w:val="1B3A7B26"/>
    <w:rsid w:val="1B506EEB"/>
    <w:rsid w:val="1B784800"/>
    <w:rsid w:val="1B7A33A9"/>
    <w:rsid w:val="1C341BE3"/>
    <w:rsid w:val="1C343E63"/>
    <w:rsid w:val="1C426CD6"/>
    <w:rsid w:val="1C54688B"/>
    <w:rsid w:val="1C5E08C4"/>
    <w:rsid w:val="1C810E6C"/>
    <w:rsid w:val="1C893C15"/>
    <w:rsid w:val="1C8C3DE3"/>
    <w:rsid w:val="1CB6087B"/>
    <w:rsid w:val="1D5000F7"/>
    <w:rsid w:val="1D807409"/>
    <w:rsid w:val="1D8E5589"/>
    <w:rsid w:val="1DB40E22"/>
    <w:rsid w:val="1E075089"/>
    <w:rsid w:val="1E2A4C19"/>
    <w:rsid w:val="1E5F5C5F"/>
    <w:rsid w:val="1E680583"/>
    <w:rsid w:val="1E98544B"/>
    <w:rsid w:val="1E9F0221"/>
    <w:rsid w:val="1ED82539"/>
    <w:rsid w:val="1F806D36"/>
    <w:rsid w:val="1F8B60F0"/>
    <w:rsid w:val="203171E6"/>
    <w:rsid w:val="20917681"/>
    <w:rsid w:val="20DA10EA"/>
    <w:rsid w:val="20F01EC6"/>
    <w:rsid w:val="21440214"/>
    <w:rsid w:val="21955768"/>
    <w:rsid w:val="2196094F"/>
    <w:rsid w:val="21FA1A16"/>
    <w:rsid w:val="221E1123"/>
    <w:rsid w:val="234D0BBD"/>
    <w:rsid w:val="24021188"/>
    <w:rsid w:val="24447D76"/>
    <w:rsid w:val="24666511"/>
    <w:rsid w:val="246F0492"/>
    <w:rsid w:val="24B21A5A"/>
    <w:rsid w:val="24FD246F"/>
    <w:rsid w:val="263416AE"/>
    <w:rsid w:val="26E825C8"/>
    <w:rsid w:val="26E866B4"/>
    <w:rsid w:val="27076A5B"/>
    <w:rsid w:val="27CA036D"/>
    <w:rsid w:val="27F3015D"/>
    <w:rsid w:val="28421013"/>
    <w:rsid w:val="285E79CB"/>
    <w:rsid w:val="286337EB"/>
    <w:rsid w:val="287B6F62"/>
    <w:rsid w:val="28836B25"/>
    <w:rsid w:val="288C62EA"/>
    <w:rsid w:val="28E90451"/>
    <w:rsid w:val="292066FE"/>
    <w:rsid w:val="29AC79D1"/>
    <w:rsid w:val="29B135DD"/>
    <w:rsid w:val="29C74A0E"/>
    <w:rsid w:val="2A1E3431"/>
    <w:rsid w:val="2A28792F"/>
    <w:rsid w:val="2A2E3399"/>
    <w:rsid w:val="2A5C2E7E"/>
    <w:rsid w:val="2AC45EB1"/>
    <w:rsid w:val="2B044B89"/>
    <w:rsid w:val="2B174D70"/>
    <w:rsid w:val="2B3E2541"/>
    <w:rsid w:val="2B49215A"/>
    <w:rsid w:val="2BCC5D13"/>
    <w:rsid w:val="2BDE08FA"/>
    <w:rsid w:val="2BEB7CFF"/>
    <w:rsid w:val="2BF90944"/>
    <w:rsid w:val="2C586EAF"/>
    <w:rsid w:val="2C8F7376"/>
    <w:rsid w:val="2CEC4612"/>
    <w:rsid w:val="2D160399"/>
    <w:rsid w:val="2D4B773E"/>
    <w:rsid w:val="2D673047"/>
    <w:rsid w:val="2D9E0246"/>
    <w:rsid w:val="2DC35A6B"/>
    <w:rsid w:val="2E050709"/>
    <w:rsid w:val="2E201624"/>
    <w:rsid w:val="2E497F59"/>
    <w:rsid w:val="2E8D0249"/>
    <w:rsid w:val="2EE92E1E"/>
    <w:rsid w:val="2EF42911"/>
    <w:rsid w:val="2EFB7B35"/>
    <w:rsid w:val="2F1331C7"/>
    <w:rsid w:val="2F173A57"/>
    <w:rsid w:val="2F2720ED"/>
    <w:rsid w:val="2F357E25"/>
    <w:rsid w:val="2F395F54"/>
    <w:rsid w:val="2F870A85"/>
    <w:rsid w:val="2F9072FF"/>
    <w:rsid w:val="2FA16C41"/>
    <w:rsid w:val="2FCC4D09"/>
    <w:rsid w:val="2FF16D8F"/>
    <w:rsid w:val="304D21A4"/>
    <w:rsid w:val="30AE768C"/>
    <w:rsid w:val="317A19BB"/>
    <w:rsid w:val="317D18D2"/>
    <w:rsid w:val="31C23CED"/>
    <w:rsid w:val="3285327B"/>
    <w:rsid w:val="32BC6E5E"/>
    <w:rsid w:val="32C71AE0"/>
    <w:rsid w:val="32C748DC"/>
    <w:rsid w:val="32D53395"/>
    <w:rsid w:val="32E64609"/>
    <w:rsid w:val="332F28F5"/>
    <w:rsid w:val="33960D25"/>
    <w:rsid w:val="33D3632F"/>
    <w:rsid w:val="33FD76BE"/>
    <w:rsid w:val="34055461"/>
    <w:rsid w:val="344F417C"/>
    <w:rsid w:val="34530AE6"/>
    <w:rsid w:val="345343F5"/>
    <w:rsid w:val="35156241"/>
    <w:rsid w:val="351C180B"/>
    <w:rsid w:val="35396DA0"/>
    <w:rsid w:val="35B35362"/>
    <w:rsid w:val="35D455C8"/>
    <w:rsid w:val="365E6576"/>
    <w:rsid w:val="368B5773"/>
    <w:rsid w:val="36DD3DA6"/>
    <w:rsid w:val="36DF6D48"/>
    <w:rsid w:val="36E542A3"/>
    <w:rsid w:val="36EC5CED"/>
    <w:rsid w:val="37036833"/>
    <w:rsid w:val="37846F04"/>
    <w:rsid w:val="38051970"/>
    <w:rsid w:val="380E11D9"/>
    <w:rsid w:val="38231C25"/>
    <w:rsid w:val="38307E3A"/>
    <w:rsid w:val="38B12F93"/>
    <w:rsid w:val="38D95E52"/>
    <w:rsid w:val="390C3312"/>
    <w:rsid w:val="391A4DE7"/>
    <w:rsid w:val="392845DF"/>
    <w:rsid w:val="39384075"/>
    <w:rsid w:val="39905C5B"/>
    <w:rsid w:val="39905CBA"/>
    <w:rsid w:val="39C93C16"/>
    <w:rsid w:val="39ED0AA1"/>
    <w:rsid w:val="3A002E9A"/>
    <w:rsid w:val="3A3C25D7"/>
    <w:rsid w:val="3A5D7DF1"/>
    <w:rsid w:val="3A696106"/>
    <w:rsid w:val="3A771E7C"/>
    <w:rsid w:val="3AB316C2"/>
    <w:rsid w:val="3AC01B09"/>
    <w:rsid w:val="3ACA26EC"/>
    <w:rsid w:val="3AD06B53"/>
    <w:rsid w:val="3AEE58E1"/>
    <w:rsid w:val="3B4603B4"/>
    <w:rsid w:val="3B480A98"/>
    <w:rsid w:val="3B9C2C64"/>
    <w:rsid w:val="3BB64A67"/>
    <w:rsid w:val="3BD75AD6"/>
    <w:rsid w:val="3BE15B0C"/>
    <w:rsid w:val="3C624388"/>
    <w:rsid w:val="3CA40A90"/>
    <w:rsid w:val="3CAC79CA"/>
    <w:rsid w:val="3CC36161"/>
    <w:rsid w:val="3D0B7084"/>
    <w:rsid w:val="3D532A73"/>
    <w:rsid w:val="3D536929"/>
    <w:rsid w:val="3D663392"/>
    <w:rsid w:val="3DA610DF"/>
    <w:rsid w:val="3DF64736"/>
    <w:rsid w:val="3DF95BD7"/>
    <w:rsid w:val="3E974885"/>
    <w:rsid w:val="3EBC53F6"/>
    <w:rsid w:val="3EBE60F2"/>
    <w:rsid w:val="3F0E7F6E"/>
    <w:rsid w:val="3F75273C"/>
    <w:rsid w:val="3F8F587F"/>
    <w:rsid w:val="3F9B1B4A"/>
    <w:rsid w:val="3FBB54A1"/>
    <w:rsid w:val="3FEC6FA3"/>
    <w:rsid w:val="404D6193"/>
    <w:rsid w:val="409669F0"/>
    <w:rsid w:val="40D10A84"/>
    <w:rsid w:val="415E0D5B"/>
    <w:rsid w:val="418B32B2"/>
    <w:rsid w:val="41BC1DA2"/>
    <w:rsid w:val="4228754F"/>
    <w:rsid w:val="42422076"/>
    <w:rsid w:val="4243163F"/>
    <w:rsid w:val="42731BA1"/>
    <w:rsid w:val="427830BA"/>
    <w:rsid w:val="42951607"/>
    <w:rsid w:val="42BC64DD"/>
    <w:rsid w:val="42E2174B"/>
    <w:rsid w:val="43230647"/>
    <w:rsid w:val="4344573C"/>
    <w:rsid w:val="43A65EF5"/>
    <w:rsid w:val="43AC7BAF"/>
    <w:rsid w:val="44036C30"/>
    <w:rsid w:val="443F7548"/>
    <w:rsid w:val="444A128E"/>
    <w:rsid w:val="449851D6"/>
    <w:rsid w:val="449D633E"/>
    <w:rsid w:val="44BF3ED1"/>
    <w:rsid w:val="44D142E8"/>
    <w:rsid w:val="44E13350"/>
    <w:rsid w:val="451D41E6"/>
    <w:rsid w:val="4544208D"/>
    <w:rsid w:val="4560102C"/>
    <w:rsid w:val="457A0001"/>
    <w:rsid w:val="45853E19"/>
    <w:rsid w:val="45B177E7"/>
    <w:rsid w:val="45EE11A5"/>
    <w:rsid w:val="45FE57B3"/>
    <w:rsid w:val="462C0FA0"/>
    <w:rsid w:val="46501022"/>
    <w:rsid w:val="46735870"/>
    <w:rsid w:val="46B22DAD"/>
    <w:rsid w:val="46F36279"/>
    <w:rsid w:val="46FA03FD"/>
    <w:rsid w:val="47022C63"/>
    <w:rsid w:val="47286E32"/>
    <w:rsid w:val="478A72C4"/>
    <w:rsid w:val="479E32E6"/>
    <w:rsid w:val="479E5F68"/>
    <w:rsid w:val="47E47304"/>
    <w:rsid w:val="47E50A8C"/>
    <w:rsid w:val="47EC5626"/>
    <w:rsid w:val="48604A6A"/>
    <w:rsid w:val="487C76A0"/>
    <w:rsid w:val="48853388"/>
    <w:rsid w:val="48AD7B6E"/>
    <w:rsid w:val="48F573F1"/>
    <w:rsid w:val="48F649D4"/>
    <w:rsid w:val="49594016"/>
    <w:rsid w:val="497B07F0"/>
    <w:rsid w:val="49B55B84"/>
    <w:rsid w:val="49D97353"/>
    <w:rsid w:val="4A642A4E"/>
    <w:rsid w:val="4AA84682"/>
    <w:rsid w:val="4ADC51BE"/>
    <w:rsid w:val="4AEF6313"/>
    <w:rsid w:val="4AFC1194"/>
    <w:rsid w:val="4B142168"/>
    <w:rsid w:val="4B594A1B"/>
    <w:rsid w:val="4B9932D0"/>
    <w:rsid w:val="4BFF6423"/>
    <w:rsid w:val="4C2D43FD"/>
    <w:rsid w:val="4C4731E4"/>
    <w:rsid w:val="4C4A3A0C"/>
    <w:rsid w:val="4C556956"/>
    <w:rsid w:val="4CF0588C"/>
    <w:rsid w:val="4DA579D5"/>
    <w:rsid w:val="4DC25290"/>
    <w:rsid w:val="4DC54641"/>
    <w:rsid w:val="4DCA2D3A"/>
    <w:rsid w:val="4DD66800"/>
    <w:rsid w:val="4E1E5245"/>
    <w:rsid w:val="4E227DE5"/>
    <w:rsid w:val="4E63397B"/>
    <w:rsid w:val="4E7835BC"/>
    <w:rsid w:val="4E873C75"/>
    <w:rsid w:val="4E913497"/>
    <w:rsid w:val="4EB122B3"/>
    <w:rsid w:val="4EDB288F"/>
    <w:rsid w:val="4F1C1126"/>
    <w:rsid w:val="4F221B96"/>
    <w:rsid w:val="4F411A2B"/>
    <w:rsid w:val="4F9973F4"/>
    <w:rsid w:val="4FB516E1"/>
    <w:rsid w:val="4FD07B4B"/>
    <w:rsid w:val="4FFB6E83"/>
    <w:rsid w:val="50142A24"/>
    <w:rsid w:val="506523AF"/>
    <w:rsid w:val="50A53988"/>
    <w:rsid w:val="50F9524E"/>
    <w:rsid w:val="514432FE"/>
    <w:rsid w:val="51450D89"/>
    <w:rsid w:val="51766916"/>
    <w:rsid w:val="51854E7F"/>
    <w:rsid w:val="51966F39"/>
    <w:rsid w:val="51F46078"/>
    <w:rsid w:val="51FC53E0"/>
    <w:rsid w:val="5201325E"/>
    <w:rsid w:val="520443CA"/>
    <w:rsid w:val="520A725D"/>
    <w:rsid w:val="52831058"/>
    <w:rsid w:val="52844815"/>
    <w:rsid w:val="52C55C27"/>
    <w:rsid w:val="533F5425"/>
    <w:rsid w:val="53635E9D"/>
    <w:rsid w:val="538006EE"/>
    <w:rsid w:val="53CB4573"/>
    <w:rsid w:val="5417754E"/>
    <w:rsid w:val="54187F1C"/>
    <w:rsid w:val="54661A6D"/>
    <w:rsid w:val="547000E3"/>
    <w:rsid w:val="54771DA6"/>
    <w:rsid w:val="547E76AA"/>
    <w:rsid w:val="54AA249E"/>
    <w:rsid w:val="54BE6593"/>
    <w:rsid w:val="54D3458B"/>
    <w:rsid w:val="54DC6F76"/>
    <w:rsid w:val="54F262B2"/>
    <w:rsid w:val="553A4A5A"/>
    <w:rsid w:val="553D6CBE"/>
    <w:rsid w:val="554E1A2E"/>
    <w:rsid w:val="55500544"/>
    <w:rsid w:val="5558603B"/>
    <w:rsid w:val="558A07AD"/>
    <w:rsid w:val="55D212DA"/>
    <w:rsid w:val="55DE2EAD"/>
    <w:rsid w:val="56055D7B"/>
    <w:rsid w:val="561C06B7"/>
    <w:rsid w:val="565B470A"/>
    <w:rsid w:val="56985ECA"/>
    <w:rsid w:val="57794F86"/>
    <w:rsid w:val="57962DD5"/>
    <w:rsid w:val="579C5972"/>
    <w:rsid w:val="57DA2FF7"/>
    <w:rsid w:val="58210F70"/>
    <w:rsid w:val="5878100D"/>
    <w:rsid w:val="588671C4"/>
    <w:rsid w:val="58BE4999"/>
    <w:rsid w:val="58CE4E5E"/>
    <w:rsid w:val="58D32786"/>
    <w:rsid w:val="592854BF"/>
    <w:rsid w:val="59474427"/>
    <w:rsid w:val="598E39A7"/>
    <w:rsid w:val="59AD1DB0"/>
    <w:rsid w:val="59CA67CF"/>
    <w:rsid w:val="5A131F6B"/>
    <w:rsid w:val="5A1F4157"/>
    <w:rsid w:val="5B1D1F89"/>
    <w:rsid w:val="5B41331E"/>
    <w:rsid w:val="5B726428"/>
    <w:rsid w:val="5B883509"/>
    <w:rsid w:val="5B97670E"/>
    <w:rsid w:val="5C0C4A07"/>
    <w:rsid w:val="5C3E03D2"/>
    <w:rsid w:val="5C5825AA"/>
    <w:rsid w:val="5C7B2FBB"/>
    <w:rsid w:val="5C9639C4"/>
    <w:rsid w:val="5DA913A6"/>
    <w:rsid w:val="5E215AF5"/>
    <w:rsid w:val="5E85058B"/>
    <w:rsid w:val="5E9771CD"/>
    <w:rsid w:val="5EE35E56"/>
    <w:rsid w:val="5F0F6B05"/>
    <w:rsid w:val="5F6E36A0"/>
    <w:rsid w:val="5FC15F09"/>
    <w:rsid w:val="5FCF78A6"/>
    <w:rsid w:val="607A593F"/>
    <w:rsid w:val="607E760A"/>
    <w:rsid w:val="60965ADD"/>
    <w:rsid w:val="60CF4CAA"/>
    <w:rsid w:val="60FD6DEE"/>
    <w:rsid w:val="61226E78"/>
    <w:rsid w:val="612A36F4"/>
    <w:rsid w:val="61AC4E9D"/>
    <w:rsid w:val="61AE0F73"/>
    <w:rsid w:val="61BB1034"/>
    <w:rsid w:val="61C72E6E"/>
    <w:rsid w:val="625B56F8"/>
    <w:rsid w:val="62FA19FB"/>
    <w:rsid w:val="63234585"/>
    <w:rsid w:val="63592F9D"/>
    <w:rsid w:val="636649C5"/>
    <w:rsid w:val="63A7359E"/>
    <w:rsid w:val="63CF1C92"/>
    <w:rsid w:val="6409130A"/>
    <w:rsid w:val="641A1533"/>
    <w:rsid w:val="64737DE5"/>
    <w:rsid w:val="64C526A6"/>
    <w:rsid w:val="65242C85"/>
    <w:rsid w:val="652E55C5"/>
    <w:rsid w:val="653E2C47"/>
    <w:rsid w:val="65713B58"/>
    <w:rsid w:val="65A34952"/>
    <w:rsid w:val="65BF71D6"/>
    <w:rsid w:val="65E650F7"/>
    <w:rsid w:val="674B49C6"/>
    <w:rsid w:val="681A5F3B"/>
    <w:rsid w:val="683602AE"/>
    <w:rsid w:val="685A699C"/>
    <w:rsid w:val="6878474F"/>
    <w:rsid w:val="68882BCB"/>
    <w:rsid w:val="68B0186F"/>
    <w:rsid w:val="690C2762"/>
    <w:rsid w:val="691C5141"/>
    <w:rsid w:val="691E574C"/>
    <w:rsid w:val="69501373"/>
    <w:rsid w:val="69C63F07"/>
    <w:rsid w:val="6A763F50"/>
    <w:rsid w:val="6A8E2BDB"/>
    <w:rsid w:val="6AB378B4"/>
    <w:rsid w:val="6AB54053"/>
    <w:rsid w:val="6B06622D"/>
    <w:rsid w:val="6B401265"/>
    <w:rsid w:val="6B61082D"/>
    <w:rsid w:val="6B670800"/>
    <w:rsid w:val="6BBB08DF"/>
    <w:rsid w:val="6BE801E7"/>
    <w:rsid w:val="6C08539F"/>
    <w:rsid w:val="6C9F465B"/>
    <w:rsid w:val="6CA166B8"/>
    <w:rsid w:val="6CA743CC"/>
    <w:rsid w:val="6CBF1508"/>
    <w:rsid w:val="6CE27ACD"/>
    <w:rsid w:val="6D6B6E4D"/>
    <w:rsid w:val="6D9305DB"/>
    <w:rsid w:val="6DC37052"/>
    <w:rsid w:val="6DE94F39"/>
    <w:rsid w:val="6DF243DE"/>
    <w:rsid w:val="6E056DE4"/>
    <w:rsid w:val="6E2F66A7"/>
    <w:rsid w:val="6E3C70F4"/>
    <w:rsid w:val="6E543DB3"/>
    <w:rsid w:val="6E683453"/>
    <w:rsid w:val="6E862D42"/>
    <w:rsid w:val="6E937CD8"/>
    <w:rsid w:val="6EB318E2"/>
    <w:rsid w:val="6ED00F45"/>
    <w:rsid w:val="6F13037E"/>
    <w:rsid w:val="6F213FA3"/>
    <w:rsid w:val="6F3D3ED9"/>
    <w:rsid w:val="6F414742"/>
    <w:rsid w:val="6F422395"/>
    <w:rsid w:val="6F5E5CAB"/>
    <w:rsid w:val="6F777F27"/>
    <w:rsid w:val="6FB23DD0"/>
    <w:rsid w:val="6FC113A3"/>
    <w:rsid w:val="6FCB39B7"/>
    <w:rsid w:val="6FF0119D"/>
    <w:rsid w:val="704242AE"/>
    <w:rsid w:val="707D5EC5"/>
    <w:rsid w:val="70804B9D"/>
    <w:rsid w:val="709256F6"/>
    <w:rsid w:val="70C90DC0"/>
    <w:rsid w:val="70CE529A"/>
    <w:rsid w:val="70DA70E5"/>
    <w:rsid w:val="71C36493"/>
    <w:rsid w:val="71D30F7C"/>
    <w:rsid w:val="71D33985"/>
    <w:rsid w:val="71FB12FE"/>
    <w:rsid w:val="723C52DD"/>
    <w:rsid w:val="72DE59F0"/>
    <w:rsid w:val="73295315"/>
    <w:rsid w:val="732A2376"/>
    <w:rsid w:val="73A47D96"/>
    <w:rsid w:val="73D20A9B"/>
    <w:rsid w:val="745650ED"/>
    <w:rsid w:val="7460295E"/>
    <w:rsid w:val="74673DE0"/>
    <w:rsid w:val="747D1B6F"/>
    <w:rsid w:val="74804C04"/>
    <w:rsid w:val="74F51117"/>
    <w:rsid w:val="75B15EDF"/>
    <w:rsid w:val="75D81FEC"/>
    <w:rsid w:val="760261F5"/>
    <w:rsid w:val="763B11D1"/>
    <w:rsid w:val="76BE257C"/>
    <w:rsid w:val="76E5305A"/>
    <w:rsid w:val="77326D7C"/>
    <w:rsid w:val="777651F6"/>
    <w:rsid w:val="77A75DE5"/>
    <w:rsid w:val="77B42785"/>
    <w:rsid w:val="77E358EB"/>
    <w:rsid w:val="78273EF6"/>
    <w:rsid w:val="78482494"/>
    <w:rsid w:val="78B10FE2"/>
    <w:rsid w:val="7919753F"/>
    <w:rsid w:val="791A7C3D"/>
    <w:rsid w:val="79353340"/>
    <w:rsid w:val="795A70E9"/>
    <w:rsid w:val="79745C4F"/>
    <w:rsid w:val="7A1B49B2"/>
    <w:rsid w:val="7A357C19"/>
    <w:rsid w:val="7AA11E4E"/>
    <w:rsid w:val="7AF422F1"/>
    <w:rsid w:val="7AFE373A"/>
    <w:rsid w:val="7B4E2788"/>
    <w:rsid w:val="7B70526D"/>
    <w:rsid w:val="7B7F10DE"/>
    <w:rsid w:val="7BA81DE3"/>
    <w:rsid w:val="7BC94E48"/>
    <w:rsid w:val="7BD36A76"/>
    <w:rsid w:val="7BD9545B"/>
    <w:rsid w:val="7C7042BA"/>
    <w:rsid w:val="7C7F7A0B"/>
    <w:rsid w:val="7C9E6B19"/>
    <w:rsid w:val="7CD07F23"/>
    <w:rsid w:val="7D53422E"/>
    <w:rsid w:val="7D5D66EF"/>
    <w:rsid w:val="7D7368E0"/>
    <w:rsid w:val="7D8F6250"/>
    <w:rsid w:val="7D987E04"/>
    <w:rsid w:val="7DDB0212"/>
    <w:rsid w:val="7E1B491C"/>
    <w:rsid w:val="7E295D76"/>
    <w:rsid w:val="7E394FEA"/>
    <w:rsid w:val="7E835567"/>
    <w:rsid w:val="7EA753CB"/>
    <w:rsid w:val="7F9A610B"/>
    <w:rsid w:val="7FBC1C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5"/>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8"/>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4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5">
    <w:name w:val="Default Paragraph Font"/>
    <w:semiHidden/>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styleId="11">
    <w:name w:val="annotation text"/>
    <w:basedOn w:val="1"/>
    <w:link w:val="41"/>
    <w:uiPriority w:val="0"/>
    <w:pPr>
      <w:jc w:val="left"/>
    </w:pPr>
  </w:style>
  <w:style w:type="paragraph" w:styleId="12">
    <w:name w:val="Body Text"/>
    <w:basedOn w:val="1"/>
    <w:next w:val="13"/>
    <w:unhideWhenUsed/>
    <w:qFormat/>
    <w:uiPriority w:val="99"/>
    <w:rPr>
      <w:rFonts w:ascii="Times New Roman" w:hAnsi="Times New Roman"/>
      <w:sz w:val="20"/>
      <w:szCs w:val="20"/>
    </w:rPr>
  </w:style>
  <w:style w:type="paragraph" w:styleId="13">
    <w:name w:val="toc 5"/>
    <w:basedOn w:val="1"/>
    <w:next w:val="1"/>
    <w:qFormat/>
    <w:uiPriority w:val="0"/>
    <w:pPr>
      <w:ind w:left="1680" w:leftChars="800"/>
    </w:pPr>
  </w:style>
  <w:style w:type="paragraph" w:styleId="14">
    <w:name w:val="Body Text Indent"/>
    <w:basedOn w:val="1"/>
    <w:qFormat/>
    <w:uiPriority w:val="0"/>
    <w:pPr>
      <w:spacing w:line="360" w:lineRule="auto"/>
      <w:ind w:firstLine="420" w:firstLineChars="200"/>
    </w:pPr>
  </w:style>
  <w:style w:type="paragraph" w:styleId="15">
    <w:name w:val="Date"/>
    <w:basedOn w:val="1"/>
    <w:next w:val="1"/>
    <w:uiPriority w:val="0"/>
    <w:pPr>
      <w:ind w:left="100" w:leftChars="2500"/>
    </w:pPr>
  </w:style>
  <w:style w:type="paragraph" w:styleId="16">
    <w:name w:val="Balloon Text"/>
    <w:basedOn w:val="1"/>
    <w:link w:val="42"/>
    <w:uiPriority w:val="0"/>
    <w:rPr>
      <w:sz w:val="18"/>
      <w:szCs w:val="18"/>
    </w:rPr>
  </w:style>
  <w:style w:type="paragraph" w:styleId="17">
    <w:name w:val="footer"/>
    <w:basedOn w:val="1"/>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11"/>
    <w:next w:val="11"/>
    <w:link w:val="43"/>
    <w:uiPriority w:val="0"/>
    <w:rPr>
      <w:b/>
      <w:bCs/>
    </w:rPr>
  </w:style>
  <w:style w:type="paragraph" w:styleId="21">
    <w:name w:val="Body Text First Indent"/>
    <w:basedOn w:val="12"/>
    <w:qFormat/>
    <w:uiPriority w:val="0"/>
    <w:pPr>
      <w:spacing w:after="0" w:line="360" w:lineRule="auto"/>
      <w:ind w:firstLine="420" w:firstLineChars="100"/>
    </w:pPr>
    <w:rPr>
      <w:rFonts w:ascii="Times New Roman" w:hAnsi="Times New Roman"/>
      <w:sz w:val="28"/>
      <w:szCs w:val="20"/>
    </w:rPr>
  </w:style>
  <w:style w:type="paragraph" w:styleId="22">
    <w:name w:val="Body Text First Indent 2"/>
    <w:basedOn w:val="14"/>
    <w:qFormat/>
    <w:uiPriority w:val="0"/>
    <w:pPr>
      <w:spacing w:after="120" w:line="240" w:lineRule="auto"/>
      <w:ind w:left="420" w:leftChars="200"/>
    </w:pPr>
  </w:style>
  <w:style w:type="table" w:styleId="24">
    <w:name w:val="Table Grid"/>
    <w:basedOn w:val="23"/>
    <w:uiPriority w:val="0"/>
    <w:pPr>
      <w:widowControl w:val="0"/>
      <w:jc w:val="both"/>
    </w:pPr>
    <w:rPr>
      <w:rFonts w:ascii="Calibri" w:hAnsi="Calibri"/>
      <w:lang w:val="en-US" w:eastAsia="zh-CN" w:bidi="ar-SA"/>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uiPriority w:val="0"/>
  </w:style>
  <w:style w:type="character" w:styleId="28">
    <w:name w:val="FollowedHyperlink"/>
    <w:basedOn w:val="25"/>
    <w:uiPriority w:val="0"/>
    <w:rPr>
      <w:color w:val="000000"/>
      <w:u w:val="none"/>
    </w:rPr>
  </w:style>
  <w:style w:type="character" w:styleId="29">
    <w:name w:val="Hyperlink"/>
    <w:uiPriority w:val="0"/>
    <w:rPr>
      <w:color w:val="0563C1"/>
      <w:u w:val="single"/>
    </w:rPr>
  </w:style>
  <w:style w:type="character" w:styleId="30">
    <w:name w:val="HTML Code"/>
    <w:uiPriority w:val="0"/>
    <w:rPr>
      <w:rFonts w:ascii="宋体" w:hAnsi="宋体" w:eastAsia="宋体" w:cs="宋体"/>
      <w:sz w:val="24"/>
      <w:szCs w:val="24"/>
    </w:rPr>
  </w:style>
  <w:style w:type="character" w:styleId="31">
    <w:name w:val="annotation reference"/>
    <w:uiPriority w:val="0"/>
    <w:rPr>
      <w:sz w:val="21"/>
      <w:szCs w:val="21"/>
    </w:rPr>
  </w:style>
  <w:style w:type="character" w:customStyle="1" w:styleId="32">
    <w:name w:val="标题 1 Char"/>
    <w:link w:val="2"/>
    <w:uiPriority w:val="0"/>
    <w:rPr>
      <w:rFonts w:eastAsia="宋体"/>
      <w:b/>
      <w:bCs/>
      <w:kern w:val="44"/>
      <w:sz w:val="44"/>
      <w:szCs w:val="44"/>
      <w:lang w:val="en-US" w:eastAsia="zh-CN" w:bidi="ar-SA"/>
    </w:rPr>
  </w:style>
  <w:style w:type="character" w:customStyle="1" w:styleId="33">
    <w:name w:val="标题 2 Char"/>
    <w:link w:val="3"/>
    <w:uiPriority w:val="0"/>
    <w:rPr>
      <w:rFonts w:ascii="Arial" w:hAnsi="Arial" w:eastAsia="黑体"/>
      <w:b/>
      <w:bCs/>
      <w:kern w:val="2"/>
      <w:sz w:val="32"/>
      <w:szCs w:val="32"/>
      <w:lang w:val="en-US" w:eastAsia="zh-CN" w:bidi="ar-SA"/>
    </w:rPr>
  </w:style>
  <w:style w:type="character" w:customStyle="1" w:styleId="34">
    <w:name w:val="标题 3 Char"/>
    <w:link w:val="4"/>
    <w:uiPriority w:val="0"/>
    <w:rPr>
      <w:rFonts w:eastAsia="宋体"/>
      <w:b/>
      <w:bCs/>
      <w:kern w:val="2"/>
      <w:sz w:val="32"/>
      <w:szCs w:val="32"/>
      <w:lang w:val="en-US" w:eastAsia="zh-CN" w:bidi="ar-SA"/>
    </w:rPr>
  </w:style>
  <w:style w:type="character" w:customStyle="1" w:styleId="35">
    <w:name w:val="标题 4 Char"/>
    <w:link w:val="5"/>
    <w:uiPriority w:val="0"/>
    <w:rPr>
      <w:rFonts w:ascii="Arial" w:hAnsi="Arial" w:eastAsia="黑体"/>
      <w:b/>
      <w:bCs/>
      <w:kern w:val="2"/>
      <w:sz w:val="28"/>
      <w:szCs w:val="28"/>
      <w:lang w:val="en-US" w:eastAsia="zh-CN" w:bidi="ar-SA"/>
    </w:rPr>
  </w:style>
  <w:style w:type="character" w:customStyle="1" w:styleId="36">
    <w:name w:val="标题 5 Char"/>
    <w:link w:val="6"/>
    <w:uiPriority w:val="0"/>
    <w:rPr>
      <w:rFonts w:eastAsia="宋体"/>
      <w:b/>
      <w:bCs/>
      <w:kern w:val="2"/>
      <w:sz w:val="28"/>
      <w:szCs w:val="28"/>
      <w:lang w:val="en-US" w:eastAsia="zh-CN" w:bidi="ar-SA"/>
    </w:rPr>
  </w:style>
  <w:style w:type="character" w:customStyle="1" w:styleId="37">
    <w:name w:val="标题 6 Char"/>
    <w:link w:val="7"/>
    <w:uiPriority w:val="0"/>
    <w:rPr>
      <w:rFonts w:ascii="Arial" w:hAnsi="Arial" w:eastAsia="黑体"/>
      <w:b/>
      <w:bCs/>
      <w:kern w:val="2"/>
      <w:sz w:val="24"/>
      <w:szCs w:val="24"/>
      <w:lang w:val="en-US" w:eastAsia="zh-CN" w:bidi="ar-SA"/>
    </w:rPr>
  </w:style>
  <w:style w:type="character" w:customStyle="1" w:styleId="38">
    <w:name w:val="标题 7 Char"/>
    <w:link w:val="8"/>
    <w:uiPriority w:val="0"/>
    <w:rPr>
      <w:rFonts w:eastAsia="宋体"/>
      <w:b/>
      <w:bCs/>
      <w:kern w:val="2"/>
      <w:sz w:val="24"/>
      <w:szCs w:val="24"/>
      <w:lang w:val="en-US" w:eastAsia="zh-CN" w:bidi="ar-SA"/>
    </w:rPr>
  </w:style>
  <w:style w:type="character" w:customStyle="1" w:styleId="39">
    <w:name w:val="标题 8 Char"/>
    <w:link w:val="9"/>
    <w:uiPriority w:val="0"/>
    <w:rPr>
      <w:rFonts w:ascii="Arial" w:hAnsi="Arial" w:eastAsia="黑体"/>
      <w:kern w:val="2"/>
      <w:sz w:val="24"/>
      <w:szCs w:val="24"/>
      <w:lang w:val="en-US" w:eastAsia="zh-CN" w:bidi="ar-SA"/>
    </w:rPr>
  </w:style>
  <w:style w:type="character" w:customStyle="1" w:styleId="40">
    <w:name w:val="标题 9 Char"/>
    <w:link w:val="10"/>
    <w:uiPriority w:val="0"/>
    <w:rPr>
      <w:rFonts w:ascii="Arial" w:hAnsi="Arial" w:eastAsia="黑体"/>
      <w:kern w:val="2"/>
      <w:sz w:val="21"/>
      <w:szCs w:val="21"/>
      <w:lang w:val="en-US" w:eastAsia="zh-CN" w:bidi="ar-SA"/>
    </w:rPr>
  </w:style>
  <w:style w:type="character" w:customStyle="1" w:styleId="41">
    <w:name w:val="批注文字 Char"/>
    <w:link w:val="11"/>
    <w:uiPriority w:val="0"/>
    <w:rPr>
      <w:rFonts w:eastAsia="宋体"/>
      <w:kern w:val="2"/>
      <w:sz w:val="21"/>
      <w:szCs w:val="24"/>
      <w:lang w:val="en-US" w:eastAsia="zh-CN" w:bidi="ar-SA"/>
    </w:rPr>
  </w:style>
  <w:style w:type="character" w:customStyle="1" w:styleId="42">
    <w:name w:val="批注框文本 Char"/>
    <w:link w:val="16"/>
    <w:uiPriority w:val="0"/>
    <w:rPr>
      <w:rFonts w:eastAsia="宋体"/>
      <w:kern w:val="2"/>
      <w:sz w:val="18"/>
      <w:szCs w:val="18"/>
      <w:lang w:val="en-US" w:eastAsia="zh-CN" w:bidi="ar-SA"/>
    </w:rPr>
  </w:style>
  <w:style w:type="character" w:customStyle="1" w:styleId="43">
    <w:name w:val="批注主题 Char"/>
    <w:link w:val="20"/>
    <w:uiPriority w:val="0"/>
    <w:rPr>
      <w:rFonts w:eastAsia="宋体"/>
      <w:b/>
      <w:bCs/>
      <w:kern w:val="2"/>
      <w:sz w:val="21"/>
      <w:szCs w:val="24"/>
      <w:lang w:val="en-US" w:eastAsia="zh-CN" w:bidi="ar-SA"/>
    </w:rPr>
  </w:style>
  <w:style w:type="character" w:customStyle="1" w:styleId="44">
    <w:name w:val="font71"/>
    <w:basedOn w:val="25"/>
    <w:uiPriority w:val="0"/>
    <w:rPr>
      <w:rFonts w:hint="eastAsia" w:ascii="宋体" w:hAnsi="宋体" w:eastAsia="宋体" w:cs="宋体"/>
      <w:color w:val="000000"/>
      <w:sz w:val="18"/>
      <w:szCs w:val="18"/>
      <w:u w:val="none"/>
    </w:rPr>
  </w:style>
  <w:style w:type="character" w:customStyle="1" w:styleId="45">
    <w:name w:val="font12"/>
    <w:basedOn w:val="25"/>
    <w:uiPriority w:val="0"/>
    <w:rPr>
      <w:rFonts w:hint="default" w:ascii="Times New Roman" w:hAnsi="Times New Roman" w:cs="Times New Roman"/>
      <w:color w:val="000000"/>
      <w:sz w:val="18"/>
      <w:szCs w:val="18"/>
      <w:u w:val="none"/>
    </w:rPr>
  </w:style>
  <w:style w:type="character" w:customStyle="1" w:styleId="46">
    <w:name w:val="apple-converted-space"/>
    <w:uiPriority w:val="0"/>
    <w:rPr>
      <w:rFonts w:cs="Times New Roman"/>
    </w:rPr>
  </w:style>
  <w:style w:type="character" w:customStyle="1" w:styleId="47">
    <w:name w:val="wx-space"/>
    <w:basedOn w:val="25"/>
    <w:uiPriority w:val="0"/>
  </w:style>
  <w:style w:type="character" w:customStyle="1" w:styleId="48">
    <w:name w:val="wx-space1"/>
    <w:basedOn w:val="25"/>
    <w:uiPriority w:val="0"/>
  </w:style>
  <w:style w:type="character" w:customStyle="1" w:styleId="49">
    <w:name w:val="font41"/>
    <w:basedOn w:val="25"/>
    <w:uiPriority w:val="0"/>
    <w:rPr>
      <w:rFonts w:hint="default" w:ascii="Times New Roman" w:hAnsi="Times New Roman" w:cs="Times New Roman"/>
      <w:color w:val="000000"/>
      <w:sz w:val="20"/>
      <w:szCs w:val="20"/>
      <w:u w:val="none"/>
    </w:rPr>
  </w:style>
  <w:style w:type="character" w:customStyle="1" w:styleId="50">
    <w:name w:val="font31"/>
    <w:basedOn w:val="25"/>
    <w:uiPriority w:val="0"/>
    <w:rPr>
      <w:rFonts w:hint="default" w:ascii="Microsoft Himalaya" w:hAnsi="Microsoft Himalaya" w:eastAsia="Microsoft Himalaya" w:cs="Microsoft Himalaya"/>
      <w:color w:val="000000"/>
      <w:sz w:val="20"/>
      <w:szCs w:val="20"/>
      <w:u w:val="none"/>
    </w:rPr>
  </w:style>
  <w:style w:type="character" w:customStyle="1" w:styleId="51">
    <w:name w:val="font101"/>
    <w:basedOn w:val="25"/>
    <w:uiPriority w:val="0"/>
    <w:rPr>
      <w:rFonts w:hint="eastAsia" w:ascii="宋体" w:hAnsi="宋体" w:eastAsia="宋体" w:cs="宋体"/>
      <w:color w:val="000000"/>
      <w:sz w:val="16"/>
      <w:szCs w:val="16"/>
      <w:u w:val="none"/>
    </w:rPr>
  </w:style>
  <w:style w:type="character" w:customStyle="1" w:styleId="52">
    <w:name w:val="font01"/>
    <w:basedOn w:val="25"/>
    <w:uiPriority w:val="0"/>
    <w:rPr>
      <w:rFonts w:hint="default" w:ascii="Microsoft Himalaya" w:hAnsi="Microsoft Himalaya" w:eastAsia="Microsoft Himalaya" w:cs="Microsoft Himalaya"/>
      <w:color w:val="000000"/>
      <w:sz w:val="20"/>
      <w:szCs w:val="20"/>
      <w:u w:val="none"/>
    </w:rPr>
  </w:style>
  <w:style w:type="character" w:customStyle="1" w:styleId="53">
    <w:name w:val="font161"/>
    <w:basedOn w:val="25"/>
    <w:uiPriority w:val="0"/>
    <w:rPr>
      <w:rFonts w:hint="default" w:ascii="Times New Roman" w:hAnsi="Times New Roman" w:cs="Times New Roman"/>
      <w:color w:val="000000"/>
      <w:sz w:val="16"/>
      <w:szCs w:val="16"/>
      <w:u w:val="none"/>
    </w:rPr>
  </w:style>
  <w:style w:type="character" w:customStyle="1" w:styleId="54">
    <w:name w:val="font211"/>
    <w:basedOn w:val="25"/>
    <w:uiPriority w:val="0"/>
    <w:rPr>
      <w:rFonts w:hint="default" w:ascii="Times New Roman" w:hAnsi="Times New Roman" w:cs="Times New Roman"/>
      <w:color w:val="000000"/>
      <w:sz w:val="16"/>
      <w:szCs w:val="16"/>
      <w:u w:val="none"/>
    </w:rPr>
  </w:style>
  <w:style w:type="character" w:customStyle="1" w:styleId="55">
    <w:name w:val="font151"/>
    <w:basedOn w:val="25"/>
    <w:uiPriority w:val="0"/>
    <w:rPr>
      <w:rFonts w:hint="default" w:ascii="Times New Roman" w:hAnsi="Times New Roman" w:cs="Times New Roman"/>
      <w:color w:val="000000"/>
      <w:sz w:val="16"/>
      <w:szCs w:val="16"/>
      <w:u w:val="none"/>
    </w:rPr>
  </w:style>
  <w:style w:type="character" w:customStyle="1" w:styleId="56">
    <w:name w:val="font121"/>
    <w:basedOn w:val="25"/>
    <w:uiPriority w:val="0"/>
    <w:rPr>
      <w:rFonts w:ascii="华文仿宋" w:hAnsi="华文仿宋" w:eastAsia="华文仿宋" w:cs="华文仿宋"/>
      <w:color w:val="000000"/>
      <w:sz w:val="20"/>
      <w:szCs w:val="20"/>
      <w:u w:val="none"/>
    </w:rPr>
  </w:style>
  <w:style w:type="character" w:customStyle="1" w:styleId="57">
    <w:name w:val="font81"/>
    <w:basedOn w:val="25"/>
    <w:uiPriority w:val="0"/>
    <w:rPr>
      <w:rFonts w:hint="default" w:ascii="Times New Roman" w:hAnsi="Times New Roman" w:cs="Times New Roman"/>
      <w:color w:val="000000"/>
      <w:sz w:val="18"/>
      <w:szCs w:val="18"/>
      <w:u w:val="none"/>
    </w:rPr>
  </w:style>
  <w:style w:type="character" w:customStyle="1" w:styleId="58">
    <w:name w:val="font191"/>
    <w:basedOn w:val="25"/>
    <w:uiPriority w:val="0"/>
    <w:rPr>
      <w:rFonts w:hint="default" w:ascii="Times New Roman" w:hAnsi="Times New Roman" w:cs="Times New Roman"/>
      <w:color w:val="000000"/>
      <w:sz w:val="16"/>
      <w:szCs w:val="16"/>
      <w:u w:val="none"/>
    </w:rPr>
  </w:style>
  <w:style w:type="character" w:customStyle="1" w:styleId="59">
    <w:name w:val="font141"/>
    <w:basedOn w:val="25"/>
    <w:uiPriority w:val="0"/>
    <w:rPr>
      <w:rFonts w:hint="eastAsia" w:ascii="宋体" w:hAnsi="宋体" w:eastAsia="宋体" w:cs="宋体"/>
      <w:b/>
      <w:color w:val="000000"/>
      <w:sz w:val="18"/>
      <w:szCs w:val="18"/>
      <w:u w:val="none"/>
    </w:rPr>
  </w:style>
  <w:style w:type="character" w:customStyle="1" w:styleId="60">
    <w:name w:val="font21"/>
    <w:basedOn w:val="25"/>
    <w:uiPriority w:val="0"/>
    <w:rPr>
      <w:rFonts w:hint="eastAsia" w:ascii="宋体" w:hAnsi="宋体" w:eastAsia="宋体" w:cs="宋体"/>
      <w:b/>
      <w:color w:val="000000"/>
      <w:sz w:val="32"/>
      <w:szCs w:val="32"/>
      <w:u w:val="none"/>
    </w:rPr>
  </w:style>
  <w:style w:type="character" w:customStyle="1" w:styleId="61">
    <w:name w:val="font181"/>
    <w:basedOn w:val="25"/>
    <w:uiPriority w:val="0"/>
    <w:rPr>
      <w:rFonts w:hint="eastAsia" w:ascii="宋体" w:hAnsi="宋体" w:eastAsia="宋体" w:cs="宋体"/>
      <w:color w:val="000000"/>
      <w:sz w:val="18"/>
      <w:szCs w:val="18"/>
      <w:u w:val="none"/>
    </w:rPr>
  </w:style>
  <w:style w:type="character" w:customStyle="1" w:styleId="62">
    <w:name w:val="font241"/>
    <w:basedOn w:val="25"/>
    <w:uiPriority w:val="0"/>
    <w:rPr>
      <w:rFonts w:ascii="华文仿宋" w:hAnsi="华文仿宋" w:eastAsia="华文仿宋" w:cs="华文仿宋"/>
      <w:color w:val="000000"/>
      <w:sz w:val="20"/>
      <w:szCs w:val="20"/>
      <w:u w:val="none"/>
    </w:rPr>
  </w:style>
  <w:style w:type="character" w:customStyle="1" w:styleId="63">
    <w:name w:val="font51"/>
    <w:basedOn w:val="25"/>
    <w:uiPriority w:val="0"/>
    <w:rPr>
      <w:rFonts w:hint="default" w:ascii="Times New Roman" w:hAnsi="Times New Roman" w:cs="Times New Roman"/>
      <w:b/>
      <w:color w:val="000000"/>
      <w:sz w:val="20"/>
      <w:szCs w:val="20"/>
      <w:u w:val="none"/>
    </w:rPr>
  </w:style>
  <w:style w:type="character" w:customStyle="1" w:styleId="64">
    <w:name w:val="hover25"/>
    <w:basedOn w:val="25"/>
    <w:uiPriority w:val="0"/>
    <w:rPr>
      <w:color w:val="000000"/>
      <w:shd w:val="clear" w:color="auto" w:fill="FFFFFF"/>
    </w:rPr>
  </w:style>
  <w:style w:type="character" w:customStyle="1" w:styleId="65">
    <w:name w:val="Heading 2 Char"/>
    <w:locked/>
    <w:uiPriority w:val="0"/>
    <w:rPr>
      <w:rFonts w:ascii="Cambria" w:hAnsi="Cambria" w:eastAsia="宋体" w:cs="Times New Roman"/>
      <w:b/>
      <w:bCs/>
      <w:sz w:val="32"/>
      <w:szCs w:val="32"/>
    </w:rPr>
  </w:style>
  <w:style w:type="character" w:customStyle="1" w:styleId="66">
    <w:name w:val="font11"/>
    <w:basedOn w:val="25"/>
    <w:uiPriority w:val="0"/>
    <w:rPr>
      <w:rFonts w:hint="eastAsia" w:ascii="仿宋" w:hAnsi="仿宋" w:eastAsia="仿宋" w:cs="仿宋"/>
      <w:color w:val="000000"/>
      <w:sz w:val="24"/>
      <w:szCs w:val="24"/>
      <w:u w:val="none"/>
    </w:rPr>
  </w:style>
  <w:style w:type="character" w:customStyle="1" w:styleId="67">
    <w:name w:val="font91"/>
    <w:basedOn w:val="25"/>
    <w:uiPriority w:val="0"/>
    <w:rPr>
      <w:rFonts w:hint="default" w:ascii="Times New Roman" w:hAnsi="Times New Roman" w:cs="Times New Roman"/>
      <w:color w:val="000000"/>
      <w:sz w:val="16"/>
      <w:szCs w:val="16"/>
      <w:u w:val="none"/>
    </w:rPr>
  </w:style>
  <w:style w:type="character" w:customStyle="1" w:styleId="68">
    <w:name w:val="font61"/>
    <w:basedOn w:val="25"/>
    <w:uiPriority w:val="0"/>
    <w:rPr>
      <w:rFonts w:hint="eastAsia" w:ascii="宋体" w:hAnsi="宋体" w:eastAsia="宋体" w:cs="宋体"/>
      <w:b/>
      <w:color w:val="000000"/>
      <w:sz w:val="20"/>
      <w:szCs w:val="20"/>
      <w:u w:val="none"/>
    </w:rPr>
  </w:style>
  <w:style w:type="character" w:customStyle="1" w:styleId="69">
    <w:name w:val="hover23"/>
    <w:basedOn w:val="25"/>
    <w:uiPriority w:val="0"/>
    <w:rPr>
      <w:color w:val="000000"/>
      <w:shd w:val="clear" w:color="auto" w:fill="FFFFFF"/>
    </w:rPr>
  </w:style>
  <w:style w:type="paragraph" w:customStyle="1" w:styleId="70">
    <w:name w:val="列出段落1"/>
    <w:basedOn w:val="1"/>
    <w:uiPriority w:val="0"/>
    <w:pPr>
      <w:ind w:firstLine="420" w:firstLineChars="200"/>
    </w:pPr>
  </w:style>
  <w:style w:type="paragraph" w:customStyle="1" w:styleId="71">
    <w:name w:val="1111"/>
    <w:basedOn w:val="1"/>
    <w:uiPriority w:val="0"/>
    <w:pPr>
      <w:spacing w:line="360" w:lineRule="auto"/>
      <w:ind w:firstLine="200" w:firstLineChars="200"/>
    </w:pPr>
    <w:rPr>
      <w:rFonts w:eastAsia="仿宋_GB2312"/>
      <w:sz w:val="24"/>
    </w:rPr>
  </w:style>
  <w:style w:type="paragraph" w:styleId="72">
    <w:name w:val="List Paragraph"/>
    <w:basedOn w:val="1"/>
    <w:qFormat/>
    <w:uiPriority w:val="0"/>
    <w:pPr>
      <w:ind w:firstLine="420" w:firstLineChars="200"/>
    </w:pPr>
  </w:style>
  <w:style w:type="paragraph" w:customStyle="1" w:styleId="73">
    <w:name w:val="_Style 1"/>
    <w:basedOn w:val="1"/>
    <w:qFormat/>
    <w:uiPriority w:val="99"/>
    <w:pPr>
      <w:ind w:firstLine="420" w:firstLineChars="200"/>
    </w:pPr>
  </w:style>
  <w:style w:type="paragraph" w:customStyle="1" w:styleId="74">
    <w:name w:val="a2"/>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font111"/>
    <w:basedOn w:val="25"/>
    <w:uiPriority w:val="0"/>
    <w:rPr>
      <w:rFonts w:hint="eastAsia" w:ascii="宋体" w:hAnsi="宋体" w:eastAsia="宋体" w:cs="宋体"/>
      <w:color w:val="FF0000"/>
      <w:sz w:val="18"/>
      <w:szCs w:val="18"/>
      <w:u w:val="none"/>
    </w:rPr>
  </w:style>
  <w:style w:type="paragraph" w:customStyle="1" w:styleId="76">
    <w:name w:val="正文首行缩进1"/>
    <w:basedOn w:val="1"/>
    <w:qFormat/>
    <w:uiPriority w:val="0"/>
    <w:pPr>
      <w:spacing w:after="120"/>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1808</Words>
  <Characters>10311</Characters>
  <Lines>85</Lines>
  <Paragraphs>24</Paragraphs>
  <TotalTime>43</TotalTime>
  <ScaleCrop>false</ScaleCrop>
  <LinksUpToDate>false</LinksUpToDate>
  <CharactersWithSpaces>12095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张志超</cp:lastModifiedBy>
  <cp:lastPrinted>2023-11-13T15:16:17Z</cp:lastPrinted>
  <dcterms:modified xsi:type="dcterms:W3CDTF">2023-12-06T09:28:07Z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3370F43F9F114851ACC4AE8B06BDA8F4_13</vt:lpwstr>
  </property>
</Properties>
</file>