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sz w:val="32"/>
          <w:szCs w:val="32"/>
        </w:rPr>
      </w:pPr>
      <w:r>
        <w:rPr>
          <w:rFonts w:hint="eastAsia" w:ascii="黑体" w:hAnsi="黑体" w:eastAsia="黑体" w:cs="黑体"/>
          <w:bCs/>
          <w:sz w:val="32"/>
          <w:szCs w:val="32"/>
        </w:rPr>
        <w:t>附件2-2</w:t>
      </w:r>
    </w:p>
    <w:p>
      <w:pPr>
        <w:spacing w:line="540" w:lineRule="exact"/>
        <w:rPr>
          <w:rFonts w:eastAsia="黑体" w:cs="黑体"/>
          <w:bCs/>
          <w:sz w:val="32"/>
          <w:szCs w:val="32"/>
        </w:rPr>
      </w:pPr>
    </w:p>
    <w:p>
      <w:pPr>
        <w:spacing w:line="540" w:lineRule="exact"/>
        <w:jc w:val="center"/>
        <w:rPr>
          <w:rFonts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eastAsia="仿宋_GB2312"/>
          <w:b/>
          <w:sz w:val="32"/>
        </w:rPr>
      </w:pPr>
    </w:p>
    <w:p>
      <w:pPr>
        <w:spacing w:line="540" w:lineRule="exact"/>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环卫车运行                        </w:t>
      </w:r>
    </w:p>
    <w:p>
      <w:pPr>
        <w:spacing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岳阳市云溪区环卫绿化服务所                                     </w:t>
      </w:r>
    </w:p>
    <w:p>
      <w:pPr>
        <w:spacing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岳阳市云溪区城市管理和综合执法局                                      </w:t>
      </w:r>
    </w:p>
    <w:p>
      <w:pPr>
        <w:spacing w:line="760" w:lineRule="exact"/>
        <w:ind w:firstLine="480" w:firstLineChars="150"/>
        <w:rPr>
          <w:rFonts w:eastAsia="仿宋_GB2312"/>
          <w:sz w:val="32"/>
          <w:szCs w:val="32"/>
        </w:rPr>
      </w:pPr>
      <w:r>
        <w:rPr>
          <w:rFonts w:hint="eastAsia" w:eastAsia="仿宋_GB2312"/>
          <w:sz w:val="32"/>
          <w:szCs w:val="32"/>
        </w:rPr>
        <w:t>评价方式：部门（单位）绩效自评</w:t>
      </w:r>
    </w:p>
    <w:p>
      <w:pPr>
        <w:spacing w:line="760" w:lineRule="exact"/>
        <w:ind w:firstLine="480" w:firstLineChars="150"/>
        <w:rPr>
          <w:rFonts w:eastAsia="仿宋_GB2312"/>
          <w:sz w:val="32"/>
          <w:szCs w:val="32"/>
        </w:rPr>
      </w:pPr>
      <w:r>
        <w:rPr>
          <w:rFonts w:hint="eastAsia" w:eastAsia="仿宋_GB2312"/>
          <w:sz w:val="32"/>
          <w:szCs w:val="32"/>
        </w:rPr>
        <w:t xml:space="preserve">评价机构：部门（单位）评价组   </w:t>
      </w:r>
    </w:p>
    <w:p>
      <w:pPr>
        <w:spacing w:line="80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jc w:val="center"/>
        <w:rPr>
          <w:rFonts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年</w:t>
      </w:r>
      <w:r>
        <w:rPr>
          <w:rFonts w:hint="eastAsia" w:eastAsia="仿宋_GB2312"/>
          <w:sz w:val="32"/>
          <w:lang w:val="en-US" w:eastAsia="zh-CN"/>
        </w:rPr>
        <w:t>6</w:t>
      </w:r>
      <w:r>
        <w:rPr>
          <w:rFonts w:hint="eastAsia" w:eastAsia="仿宋_GB2312"/>
          <w:sz w:val="32"/>
        </w:rPr>
        <w:t>月12日</w:t>
      </w:r>
    </w:p>
    <w:p>
      <w:pPr>
        <w:spacing w:line="540" w:lineRule="exact"/>
        <w:jc w:val="center"/>
        <w:rPr>
          <w:rFonts w:eastAsia="仿宋_GB2312"/>
          <w:sz w:val="32"/>
        </w:rPr>
      </w:pPr>
      <w:r>
        <w:rPr>
          <w:rFonts w:hint="eastAsia" w:eastAsia="仿宋_GB2312"/>
          <w:sz w:val="32"/>
        </w:rPr>
        <w:t>岳阳市云溪区财政局（制）</w:t>
      </w:r>
    </w:p>
    <w:p>
      <w:pPr>
        <w:spacing w:line="14" w:lineRule="exact"/>
        <w:jc w:val="center"/>
        <w:rPr>
          <w:rFonts w:eastAsia="仿宋_GB2312"/>
          <w:sz w:val="32"/>
        </w:rPr>
      </w:pPr>
      <w:r>
        <w:rPr>
          <w:rFonts w:eastAsia="仿宋_GB2312"/>
          <w:sz w:val="32"/>
        </w:rPr>
        <w:br w:type="page"/>
      </w:r>
    </w:p>
    <w:tbl>
      <w:tblPr>
        <w:tblStyle w:val="5"/>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959"/>
        <w:gridCol w:w="1143"/>
        <w:gridCol w:w="1148"/>
        <w:gridCol w:w="1157"/>
        <w:gridCol w:w="1546"/>
        <w:gridCol w:w="800"/>
        <w:gridCol w:w="832"/>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088" w:type="dxa"/>
            <w:vAlign w:val="center"/>
          </w:tcPr>
          <w:p>
            <w:pPr>
              <w:spacing w:line="360" w:lineRule="exact"/>
              <w:jc w:val="center"/>
              <w:rPr>
                <w:rFonts w:eastAsia="仿宋_GB2312"/>
                <w:color w:val="000000"/>
                <w:kern w:val="0"/>
                <w:szCs w:val="21"/>
              </w:rPr>
            </w:pPr>
            <w:r>
              <w:rPr>
                <w:rFonts w:eastAsia="仿宋_GB2312"/>
                <w:color w:val="000000"/>
                <w:kern w:val="0"/>
                <w:szCs w:val="21"/>
              </w:rPr>
              <w:t>项目支出</w:t>
            </w:r>
          </w:p>
          <w:p>
            <w:pPr>
              <w:spacing w:line="360" w:lineRule="exact"/>
              <w:jc w:val="center"/>
              <w:rPr>
                <w:rFonts w:eastAsia="仿宋_GB2312"/>
                <w:color w:val="000000"/>
                <w:kern w:val="0"/>
                <w:szCs w:val="21"/>
              </w:rPr>
            </w:pPr>
            <w:r>
              <w:rPr>
                <w:rFonts w:eastAsia="仿宋_GB2312"/>
                <w:color w:val="000000"/>
                <w:kern w:val="0"/>
                <w:szCs w:val="21"/>
              </w:rPr>
              <w:t>名</w:t>
            </w:r>
            <w:r>
              <w:rPr>
                <w:rFonts w:hint="eastAsia" w:eastAsia="仿宋_GB2312"/>
                <w:color w:val="000000"/>
                <w:kern w:val="0"/>
                <w:szCs w:val="21"/>
              </w:rPr>
              <w:t xml:space="preserve">    </w:t>
            </w:r>
            <w:r>
              <w:rPr>
                <w:rFonts w:eastAsia="仿宋_GB2312"/>
                <w:color w:val="000000"/>
                <w:kern w:val="0"/>
                <w:szCs w:val="21"/>
              </w:rPr>
              <w:t>称</w:t>
            </w:r>
          </w:p>
        </w:tc>
        <w:tc>
          <w:tcPr>
            <w:tcW w:w="8911" w:type="dxa"/>
            <w:gridSpan w:val="8"/>
            <w:vAlign w:val="center"/>
          </w:tcPr>
          <w:p>
            <w:pPr>
              <w:spacing w:line="360" w:lineRule="exact"/>
              <w:jc w:val="center"/>
              <w:rPr>
                <w:rFonts w:eastAsia="仿宋_GB2312"/>
                <w:color w:val="000000"/>
                <w:kern w:val="0"/>
                <w:szCs w:val="21"/>
              </w:rPr>
            </w:pPr>
            <w:r>
              <w:rPr>
                <w:rFonts w:hint="eastAsia" w:eastAsia="仿宋_GB2312"/>
                <w:color w:val="000000"/>
                <w:kern w:val="0"/>
                <w:szCs w:val="21"/>
              </w:rPr>
              <w:t>环卫车运行</w:t>
            </w: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088" w:type="dxa"/>
            <w:vAlign w:val="center"/>
          </w:tcPr>
          <w:p>
            <w:pPr>
              <w:spacing w:line="360" w:lineRule="exact"/>
              <w:jc w:val="left"/>
              <w:rPr>
                <w:rFonts w:eastAsia="仿宋_GB2312"/>
                <w:color w:val="000000"/>
                <w:kern w:val="0"/>
                <w:szCs w:val="21"/>
              </w:rPr>
            </w:pPr>
            <w:r>
              <w:rPr>
                <w:rFonts w:eastAsia="仿宋_GB2312"/>
                <w:color w:val="000000"/>
                <w:kern w:val="0"/>
                <w:szCs w:val="21"/>
              </w:rPr>
              <w:t>主管部门</w:t>
            </w:r>
          </w:p>
        </w:tc>
        <w:tc>
          <w:tcPr>
            <w:tcW w:w="4407" w:type="dxa"/>
            <w:gridSpan w:val="4"/>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546" w:type="dxa"/>
            <w:vAlign w:val="center"/>
          </w:tcPr>
          <w:p>
            <w:pPr>
              <w:spacing w:line="360" w:lineRule="exact"/>
              <w:jc w:val="center"/>
              <w:rPr>
                <w:rFonts w:eastAsia="仿宋_GB2312"/>
                <w:color w:val="000000"/>
                <w:kern w:val="0"/>
                <w:szCs w:val="21"/>
              </w:rPr>
            </w:pPr>
            <w:r>
              <w:rPr>
                <w:rFonts w:eastAsia="仿宋_GB2312"/>
                <w:color w:val="000000"/>
                <w:kern w:val="0"/>
                <w:szCs w:val="21"/>
              </w:rPr>
              <w:t>实施单位</w:t>
            </w:r>
          </w:p>
        </w:tc>
        <w:tc>
          <w:tcPr>
            <w:tcW w:w="2958" w:type="dxa"/>
            <w:gridSpan w:val="3"/>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148"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157"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546" w:type="dxa"/>
          </w:tcPr>
          <w:p>
            <w:pPr>
              <w:spacing w:line="360" w:lineRule="exact"/>
              <w:jc w:val="center"/>
              <w:rPr>
                <w:rFonts w:eastAsia="仿宋_GB2312"/>
                <w:szCs w:val="21"/>
              </w:rPr>
            </w:pPr>
            <w:r>
              <w:rPr>
                <w:rFonts w:eastAsia="仿宋_GB2312"/>
                <w:szCs w:val="21"/>
              </w:rPr>
              <w:t>全年执</w:t>
            </w:r>
          </w:p>
          <w:p>
            <w:pPr>
              <w:spacing w:line="360" w:lineRule="exact"/>
              <w:jc w:val="center"/>
              <w:rPr>
                <w:rFonts w:eastAsia="仿宋_GB2312"/>
                <w:spacing w:val="-8"/>
                <w:szCs w:val="21"/>
              </w:rPr>
            </w:pPr>
            <w:r>
              <w:rPr>
                <w:rFonts w:eastAsia="仿宋_GB2312"/>
                <w:szCs w:val="21"/>
              </w:rPr>
              <w:t>行</w:t>
            </w:r>
            <w:r>
              <w:rPr>
                <w:rFonts w:hint="eastAsia" w:eastAsia="仿宋_GB2312"/>
                <w:szCs w:val="21"/>
              </w:rPr>
              <w:t xml:space="preserve">  </w:t>
            </w:r>
            <w:r>
              <w:rPr>
                <w:rFonts w:eastAsia="仿宋_GB2312"/>
                <w:szCs w:val="21"/>
              </w:rPr>
              <w:t>数</w:t>
            </w:r>
          </w:p>
        </w:tc>
        <w:tc>
          <w:tcPr>
            <w:tcW w:w="800" w:type="dxa"/>
            <w:vAlign w:val="center"/>
          </w:tcPr>
          <w:p>
            <w:pPr>
              <w:spacing w:line="360" w:lineRule="exact"/>
              <w:jc w:val="center"/>
              <w:rPr>
                <w:rFonts w:eastAsia="仿宋_GB2312"/>
                <w:szCs w:val="21"/>
              </w:rPr>
            </w:pPr>
            <w:r>
              <w:rPr>
                <w:rFonts w:eastAsia="仿宋_GB2312"/>
                <w:szCs w:val="21"/>
              </w:rPr>
              <w:t>分值</w:t>
            </w:r>
          </w:p>
        </w:tc>
        <w:tc>
          <w:tcPr>
            <w:tcW w:w="832" w:type="dxa"/>
            <w:vAlign w:val="center"/>
          </w:tcPr>
          <w:p>
            <w:pPr>
              <w:spacing w:line="360" w:lineRule="exact"/>
              <w:jc w:val="center"/>
              <w:rPr>
                <w:rFonts w:eastAsia="仿宋_GB2312"/>
                <w:szCs w:val="21"/>
              </w:rPr>
            </w:pPr>
            <w:r>
              <w:rPr>
                <w:rFonts w:eastAsia="仿宋_GB2312"/>
                <w:szCs w:val="21"/>
              </w:rPr>
              <w:t>执行率</w:t>
            </w:r>
          </w:p>
        </w:tc>
        <w:tc>
          <w:tcPr>
            <w:tcW w:w="1326" w:type="dxa"/>
            <w:vAlign w:val="center"/>
          </w:tcPr>
          <w:p>
            <w:pPr>
              <w:spacing w:line="360" w:lineRule="exact"/>
              <w:jc w:val="center"/>
              <w:rPr>
                <w:rFonts w:eastAsia="仿宋_GB2312"/>
                <w:szCs w:val="21"/>
              </w:rPr>
            </w:pPr>
            <w:r>
              <w:rPr>
                <w:rFonts w:eastAsia="仿宋_GB2312"/>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年度资金总额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195</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195</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hint="eastAsia" w:ascii="仿宋_GB2312" w:eastAsia="仿宋_GB2312"/>
                <w:color w:val="000000"/>
                <w:kern w:val="0"/>
                <w:szCs w:val="21"/>
                <w:lang w:val="en-US" w:eastAsia="zh-CN"/>
              </w:rPr>
            </w:pPr>
            <w:r>
              <w:rPr>
                <w:rFonts w:hint="eastAsia" w:ascii="仿宋_GB2312" w:eastAsia="仿宋_GB2312"/>
                <w:color w:val="000000"/>
                <w:kern w:val="0"/>
                <w:szCs w:val="21"/>
              </w:rPr>
              <w:t>　10</w:t>
            </w:r>
            <w:r>
              <w:rPr>
                <w:rFonts w:hint="eastAsia" w:ascii="仿宋_GB2312" w:eastAsia="仿宋_GB2312"/>
                <w:color w:val="000000"/>
                <w:kern w:val="0"/>
                <w:szCs w:val="21"/>
                <w:lang w:val="en-US" w:eastAsia="zh-CN"/>
              </w:rPr>
              <w:t>0</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其中：当年财政拨款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195</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195</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上年结转资金　</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2102" w:type="dxa"/>
            <w:gridSpan w:val="2"/>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148"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157"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54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00"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26"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年度总体</w:t>
            </w:r>
          </w:p>
          <w:p>
            <w:pPr>
              <w:spacing w:line="360" w:lineRule="exact"/>
              <w:jc w:val="center"/>
              <w:rPr>
                <w:rFonts w:eastAsia="仿宋_GB2312"/>
                <w:color w:val="000000"/>
                <w:kern w:val="0"/>
                <w:szCs w:val="21"/>
              </w:rPr>
            </w:pPr>
            <w:r>
              <w:rPr>
                <w:rFonts w:eastAsia="仿宋_GB2312"/>
                <w:color w:val="000000"/>
                <w:kern w:val="0"/>
                <w:szCs w:val="21"/>
              </w:rPr>
              <w:t>目</w:t>
            </w:r>
            <w:r>
              <w:rPr>
                <w:rFonts w:hint="eastAsia" w:eastAsia="仿宋_GB2312"/>
                <w:color w:val="000000"/>
                <w:kern w:val="0"/>
                <w:szCs w:val="21"/>
              </w:rPr>
              <w:t xml:space="preserve">    </w:t>
            </w:r>
            <w:r>
              <w:rPr>
                <w:rFonts w:eastAsia="仿宋_GB2312"/>
                <w:color w:val="000000"/>
                <w:kern w:val="0"/>
                <w:szCs w:val="21"/>
              </w:rPr>
              <w:t>标</w:t>
            </w:r>
          </w:p>
        </w:tc>
        <w:tc>
          <w:tcPr>
            <w:tcW w:w="4407"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预期目标</w:t>
            </w:r>
          </w:p>
        </w:tc>
        <w:tc>
          <w:tcPr>
            <w:tcW w:w="4504"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4407"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　　</w:t>
            </w:r>
          </w:p>
        </w:tc>
        <w:tc>
          <w:tcPr>
            <w:tcW w:w="4504" w:type="dxa"/>
            <w:gridSpan w:val="4"/>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088"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绩</w:t>
            </w:r>
          </w:p>
          <w:p>
            <w:pPr>
              <w:spacing w:line="360" w:lineRule="exact"/>
              <w:jc w:val="center"/>
              <w:rPr>
                <w:rFonts w:eastAsia="仿宋_GB2312"/>
                <w:color w:val="000000"/>
                <w:kern w:val="0"/>
                <w:szCs w:val="21"/>
              </w:rPr>
            </w:pPr>
            <w:r>
              <w:rPr>
                <w:rFonts w:eastAsia="仿宋_GB2312"/>
                <w:color w:val="000000"/>
                <w:kern w:val="0"/>
                <w:szCs w:val="21"/>
              </w:rPr>
              <w:t>效</w:t>
            </w:r>
          </w:p>
          <w:p>
            <w:pPr>
              <w:spacing w:line="360" w:lineRule="exact"/>
              <w:jc w:val="center"/>
              <w:rPr>
                <w:rFonts w:eastAsia="仿宋_GB2312"/>
                <w:color w:val="000000"/>
                <w:kern w:val="0"/>
                <w:szCs w:val="21"/>
              </w:rPr>
            </w:pPr>
            <w:r>
              <w:rPr>
                <w:rFonts w:eastAsia="仿宋_GB2312"/>
                <w:color w:val="000000"/>
                <w:kern w:val="0"/>
                <w:szCs w:val="21"/>
              </w:rPr>
              <w:t>指</w:t>
            </w:r>
          </w:p>
          <w:p>
            <w:pPr>
              <w:spacing w:line="360" w:lineRule="exact"/>
              <w:jc w:val="center"/>
              <w:rPr>
                <w:rFonts w:eastAsia="仿宋_GB2312"/>
                <w:color w:val="000000"/>
                <w:kern w:val="0"/>
                <w:szCs w:val="21"/>
              </w:rPr>
            </w:pPr>
            <w:r>
              <w:rPr>
                <w:rFonts w:eastAsia="仿宋_GB2312"/>
                <w:color w:val="000000"/>
                <w:kern w:val="0"/>
                <w:szCs w:val="21"/>
              </w:rPr>
              <w:t>标</w:t>
            </w:r>
          </w:p>
        </w:tc>
        <w:tc>
          <w:tcPr>
            <w:tcW w:w="959" w:type="dxa"/>
            <w:vAlign w:val="center"/>
          </w:tcPr>
          <w:p>
            <w:pPr>
              <w:spacing w:line="360" w:lineRule="exact"/>
              <w:jc w:val="center"/>
              <w:rPr>
                <w:rFonts w:eastAsia="仿宋_GB2312"/>
                <w:color w:val="000000"/>
                <w:kern w:val="0"/>
                <w:szCs w:val="21"/>
              </w:rPr>
            </w:pPr>
            <w:r>
              <w:rPr>
                <w:rFonts w:eastAsia="仿宋_GB2312"/>
                <w:color w:val="000000"/>
                <w:kern w:val="0"/>
                <w:szCs w:val="21"/>
              </w:rPr>
              <w:t>一级</w:t>
            </w:r>
          </w:p>
          <w:p>
            <w:pPr>
              <w:spacing w:line="360" w:lineRule="exact"/>
              <w:jc w:val="center"/>
              <w:rPr>
                <w:rFonts w:eastAsia="仿宋_GB2312"/>
                <w:color w:val="000000"/>
                <w:kern w:val="0"/>
                <w:szCs w:val="21"/>
              </w:rPr>
            </w:pPr>
            <w:r>
              <w:rPr>
                <w:rFonts w:eastAsia="仿宋_GB2312"/>
                <w:color w:val="000000"/>
                <w:kern w:val="0"/>
                <w:szCs w:val="21"/>
              </w:rPr>
              <w:t>指标</w:t>
            </w:r>
          </w:p>
        </w:tc>
        <w:tc>
          <w:tcPr>
            <w:tcW w:w="1143" w:type="dxa"/>
            <w:vAlign w:val="center"/>
          </w:tcPr>
          <w:p>
            <w:pPr>
              <w:spacing w:line="360" w:lineRule="exact"/>
              <w:jc w:val="center"/>
              <w:rPr>
                <w:rFonts w:eastAsia="仿宋_GB2312"/>
                <w:color w:val="000000"/>
                <w:kern w:val="0"/>
                <w:szCs w:val="21"/>
              </w:rPr>
            </w:pPr>
            <w:r>
              <w:rPr>
                <w:rFonts w:eastAsia="仿宋_GB2312"/>
                <w:color w:val="000000"/>
                <w:kern w:val="0"/>
                <w:szCs w:val="21"/>
              </w:rPr>
              <w:t>二级指标</w:t>
            </w:r>
          </w:p>
        </w:tc>
        <w:tc>
          <w:tcPr>
            <w:tcW w:w="1148" w:type="dxa"/>
            <w:vAlign w:val="center"/>
          </w:tcPr>
          <w:p>
            <w:pPr>
              <w:spacing w:line="360" w:lineRule="exact"/>
              <w:jc w:val="center"/>
              <w:rPr>
                <w:rFonts w:eastAsia="仿宋_GB2312"/>
                <w:color w:val="000000"/>
                <w:kern w:val="0"/>
                <w:szCs w:val="21"/>
              </w:rPr>
            </w:pPr>
            <w:r>
              <w:rPr>
                <w:rFonts w:eastAsia="仿宋_GB2312"/>
                <w:color w:val="000000"/>
                <w:kern w:val="0"/>
                <w:szCs w:val="21"/>
              </w:rPr>
              <w:t>三级指标</w:t>
            </w:r>
          </w:p>
        </w:tc>
        <w:tc>
          <w:tcPr>
            <w:tcW w:w="1157" w:type="dxa"/>
            <w:vAlign w:val="center"/>
          </w:tcPr>
          <w:p>
            <w:pPr>
              <w:spacing w:line="360" w:lineRule="exact"/>
              <w:jc w:val="center"/>
              <w:rPr>
                <w:rFonts w:eastAsia="仿宋_GB2312"/>
                <w:color w:val="000000"/>
                <w:kern w:val="0"/>
                <w:szCs w:val="21"/>
              </w:rPr>
            </w:pPr>
            <w:r>
              <w:rPr>
                <w:rFonts w:eastAsia="仿宋_GB2312"/>
                <w:color w:val="000000"/>
                <w:kern w:val="0"/>
                <w:szCs w:val="21"/>
              </w:rPr>
              <w:t>年度</w:t>
            </w:r>
          </w:p>
          <w:p>
            <w:pPr>
              <w:spacing w:line="360" w:lineRule="exact"/>
              <w:jc w:val="center"/>
              <w:rPr>
                <w:rFonts w:eastAsia="仿宋_GB2312"/>
                <w:color w:val="000000"/>
                <w:kern w:val="0"/>
                <w:szCs w:val="21"/>
              </w:rPr>
            </w:pPr>
            <w:r>
              <w:rPr>
                <w:rFonts w:eastAsia="仿宋_GB2312"/>
                <w:color w:val="000000"/>
                <w:kern w:val="0"/>
                <w:szCs w:val="21"/>
              </w:rPr>
              <w:t>指标值</w:t>
            </w:r>
          </w:p>
        </w:tc>
        <w:tc>
          <w:tcPr>
            <w:tcW w:w="1546" w:type="dxa"/>
            <w:vAlign w:val="center"/>
          </w:tcPr>
          <w:p>
            <w:pPr>
              <w:spacing w:line="360" w:lineRule="exact"/>
              <w:jc w:val="center"/>
              <w:rPr>
                <w:rFonts w:eastAsia="仿宋_GB2312"/>
                <w:color w:val="000000"/>
                <w:kern w:val="0"/>
                <w:szCs w:val="21"/>
              </w:rPr>
            </w:pPr>
            <w:r>
              <w:rPr>
                <w:rFonts w:eastAsia="仿宋_GB2312"/>
                <w:color w:val="000000"/>
                <w:kern w:val="0"/>
                <w:szCs w:val="21"/>
              </w:rPr>
              <w:t>实际</w:t>
            </w:r>
          </w:p>
          <w:p>
            <w:pPr>
              <w:spacing w:line="360" w:lineRule="exact"/>
              <w:jc w:val="center"/>
              <w:rPr>
                <w:rFonts w:eastAsia="仿宋_GB2312"/>
                <w:color w:val="000000"/>
                <w:kern w:val="0"/>
                <w:szCs w:val="21"/>
              </w:rPr>
            </w:pPr>
            <w:r>
              <w:rPr>
                <w:rFonts w:eastAsia="仿宋_GB2312"/>
                <w:color w:val="000000"/>
                <w:kern w:val="0"/>
                <w:szCs w:val="21"/>
              </w:rPr>
              <w:t>完成值</w:t>
            </w:r>
          </w:p>
        </w:tc>
        <w:tc>
          <w:tcPr>
            <w:tcW w:w="800" w:type="dxa"/>
            <w:vAlign w:val="center"/>
          </w:tcPr>
          <w:p>
            <w:pPr>
              <w:spacing w:line="360" w:lineRule="exact"/>
              <w:jc w:val="center"/>
              <w:rPr>
                <w:rFonts w:eastAsia="仿宋_GB2312"/>
                <w:color w:val="000000"/>
                <w:kern w:val="0"/>
                <w:szCs w:val="21"/>
              </w:rPr>
            </w:pPr>
            <w:r>
              <w:rPr>
                <w:rFonts w:eastAsia="仿宋_GB2312"/>
                <w:color w:val="000000"/>
                <w:kern w:val="0"/>
                <w:szCs w:val="21"/>
              </w:rPr>
              <w:t>分值</w:t>
            </w:r>
          </w:p>
        </w:tc>
        <w:tc>
          <w:tcPr>
            <w:tcW w:w="832" w:type="dxa"/>
            <w:vAlign w:val="center"/>
          </w:tcPr>
          <w:p>
            <w:pPr>
              <w:spacing w:line="360" w:lineRule="exact"/>
              <w:jc w:val="center"/>
              <w:rPr>
                <w:rFonts w:eastAsia="仿宋_GB2312"/>
                <w:color w:val="000000"/>
                <w:kern w:val="0"/>
                <w:szCs w:val="21"/>
              </w:rPr>
            </w:pPr>
            <w:r>
              <w:rPr>
                <w:rFonts w:eastAsia="仿宋_GB2312"/>
                <w:color w:val="000000"/>
                <w:kern w:val="0"/>
                <w:szCs w:val="21"/>
              </w:rPr>
              <w:t>得分</w:t>
            </w:r>
          </w:p>
        </w:tc>
        <w:tc>
          <w:tcPr>
            <w:tcW w:w="1326" w:type="dxa"/>
            <w:vAlign w:val="center"/>
          </w:tcPr>
          <w:p>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restart"/>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产出</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(50分)</w:t>
            </w:r>
          </w:p>
        </w:tc>
        <w:tc>
          <w:tcPr>
            <w:tcW w:w="1143" w:type="dxa"/>
            <w:vAlign w:val="center"/>
          </w:tcPr>
          <w:p>
            <w:pPr>
              <w:spacing w:line="360" w:lineRule="exact"/>
              <w:jc w:val="center"/>
              <w:rPr>
                <w:rFonts w:eastAsia="仿宋_GB2312"/>
                <w:color w:val="000000"/>
                <w:kern w:val="0"/>
                <w:szCs w:val="21"/>
              </w:rPr>
            </w:pPr>
            <w:r>
              <w:rPr>
                <w:rFonts w:eastAsia="仿宋_GB2312"/>
                <w:color w:val="000000"/>
                <w:kern w:val="0"/>
                <w:szCs w:val="21"/>
              </w:rPr>
              <w:t>数量指标</w:t>
            </w:r>
          </w:p>
        </w:tc>
        <w:tc>
          <w:tcPr>
            <w:tcW w:w="1148" w:type="dxa"/>
            <w:vAlign w:val="center"/>
          </w:tcPr>
          <w:p>
            <w:pPr>
              <w:spacing w:line="360" w:lineRule="exact"/>
              <w:jc w:val="left"/>
              <w:rPr>
                <w:rFonts w:eastAsia="仿宋_GB2312"/>
                <w:color w:val="000000"/>
                <w:kern w:val="0"/>
                <w:szCs w:val="21"/>
              </w:rPr>
            </w:pPr>
          </w:p>
        </w:tc>
        <w:tc>
          <w:tcPr>
            <w:tcW w:w="1157"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54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60" w:lineRule="exact"/>
              <w:jc w:val="center"/>
              <w:rPr>
                <w:rFonts w:eastAsia="仿宋_GB2312"/>
                <w:color w:val="000000"/>
                <w:kern w:val="0"/>
                <w:szCs w:val="21"/>
              </w:rPr>
            </w:pPr>
            <w:r>
              <w:rPr>
                <w:rFonts w:eastAsia="仿宋_GB2312"/>
                <w:color w:val="000000"/>
                <w:kern w:val="0"/>
                <w:szCs w:val="21"/>
              </w:rPr>
              <w:t>质量指标</w:t>
            </w:r>
          </w:p>
        </w:tc>
        <w:tc>
          <w:tcPr>
            <w:tcW w:w="1148" w:type="dxa"/>
            <w:vAlign w:val="center"/>
          </w:tcPr>
          <w:p>
            <w:pPr>
              <w:spacing w:line="360" w:lineRule="exact"/>
              <w:jc w:val="center"/>
              <w:rPr>
                <w:rFonts w:eastAsia="仿宋_GB2312"/>
                <w:szCs w:val="21"/>
              </w:rPr>
            </w:pPr>
            <w:r>
              <w:rPr>
                <w:rFonts w:hint="eastAsia" w:eastAsia="仿宋_GB2312"/>
                <w:szCs w:val="21"/>
              </w:rPr>
              <w:t>垃圾日产日清</w:t>
            </w:r>
          </w:p>
        </w:tc>
        <w:tc>
          <w:tcPr>
            <w:tcW w:w="1157" w:type="dxa"/>
            <w:vAlign w:val="center"/>
          </w:tcPr>
          <w:p>
            <w:pPr>
              <w:jc w:val="center"/>
              <w:rPr>
                <w:rFonts w:eastAsia="仿宋_GB2312"/>
                <w:szCs w:val="21"/>
              </w:rPr>
            </w:pPr>
            <w:r>
              <w:rPr>
                <w:rFonts w:hint="eastAsia" w:eastAsia="仿宋_GB2312"/>
                <w:szCs w:val="21"/>
              </w:rPr>
              <w:t>100%</w:t>
            </w:r>
          </w:p>
        </w:tc>
        <w:tc>
          <w:tcPr>
            <w:tcW w:w="1546" w:type="dxa"/>
            <w:vAlign w:val="center"/>
          </w:tcPr>
          <w:p>
            <w:pPr>
              <w:jc w:val="center"/>
              <w:rPr>
                <w:rFonts w:eastAsia="仿宋_GB2312"/>
                <w:szCs w:val="21"/>
              </w:rPr>
            </w:pPr>
            <w:r>
              <w:rPr>
                <w:rFonts w:hint="eastAsia" w:eastAsia="仿宋_GB2312"/>
                <w:szCs w:val="21"/>
              </w:rPr>
              <w:t>100%</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60" w:lineRule="exact"/>
              <w:jc w:val="center"/>
              <w:rPr>
                <w:rFonts w:eastAsia="仿宋_GB2312"/>
                <w:color w:val="000000"/>
                <w:kern w:val="0"/>
                <w:szCs w:val="21"/>
              </w:rPr>
            </w:pPr>
            <w:r>
              <w:rPr>
                <w:rFonts w:eastAsia="仿宋_GB2312"/>
                <w:color w:val="000000"/>
                <w:kern w:val="0"/>
                <w:szCs w:val="21"/>
              </w:rPr>
              <w:t>时效指标</w:t>
            </w:r>
          </w:p>
        </w:tc>
        <w:tc>
          <w:tcPr>
            <w:tcW w:w="1148" w:type="dxa"/>
            <w:vAlign w:val="center"/>
          </w:tcPr>
          <w:p>
            <w:pPr>
              <w:spacing w:line="360" w:lineRule="exact"/>
              <w:jc w:val="left"/>
              <w:rPr>
                <w:rFonts w:hint="eastAsia" w:eastAsia="仿宋_GB2312"/>
                <w:color w:val="000000"/>
                <w:kern w:val="0"/>
                <w:szCs w:val="21"/>
                <w:lang w:val="en-US" w:eastAsia="zh-CN"/>
              </w:rPr>
            </w:pPr>
            <w:r>
              <w:rPr>
                <w:rFonts w:hint="eastAsia" w:eastAsia="仿宋_GB2312"/>
                <w:color w:val="000000"/>
                <w:kern w:val="0"/>
                <w:szCs w:val="21"/>
                <w:lang w:val="en-US" w:eastAsia="zh-CN"/>
              </w:rPr>
              <w:t>任务完成时间</w:t>
            </w:r>
          </w:p>
        </w:tc>
        <w:tc>
          <w:tcPr>
            <w:tcW w:w="1157" w:type="dxa"/>
            <w:vAlign w:val="center"/>
          </w:tcPr>
          <w:p>
            <w:pPr>
              <w:spacing w:line="360" w:lineRule="exact"/>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2022</w:t>
            </w:r>
            <w:r>
              <w:rPr>
                <w:rFonts w:hint="eastAsia" w:eastAsia="仿宋_GB2312"/>
                <w:color w:val="000000"/>
                <w:kern w:val="0"/>
                <w:szCs w:val="21"/>
              </w:rPr>
              <w:t>年</w:t>
            </w:r>
            <w:r>
              <w:rPr>
                <w:rFonts w:hint="eastAsia" w:eastAsia="仿宋_GB2312"/>
                <w:color w:val="000000"/>
                <w:kern w:val="0"/>
                <w:szCs w:val="21"/>
                <w:lang w:val="en-US" w:eastAsia="zh-CN"/>
              </w:rPr>
              <w:t>12月31日之前</w:t>
            </w:r>
          </w:p>
        </w:tc>
        <w:tc>
          <w:tcPr>
            <w:tcW w:w="1546"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.1-202</w:t>
            </w:r>
            <w:r>
              <w:rPr>
                <w:rFonts w:hint="eastAsia" w:eastAsia="仿宋_GB2312"/>
                <w:color w:val="000000"/>
                <w:kern w:val="0"/>
                <w:szCs w:val="21"/>
                <w:lang w:val="en-US" w:eastAsia="zh-CN"/>
              </w:rPr>
              <w:t>2</w:t>
            </w:r>
            <w:r>
              <w:rPr>
                <w:rFonts w:hint="eastAsia" w:eastAsia="仿宋_GB2312"/>
                <w:color w:val="000000"/>
                <w:kern w:val="0"/>
                <w:szCs w:val="21"/>
              </w:rPr>
              <w:t>.12</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60" w:lineRule="exact"/>
              <w:jc w:val="center"/>
              <w:rPr>
                <w:rFonts w:eastAsia="仿宋_GB2312"/>
                <w:color w:val="000000"/>
                <w:kern w:val="0"/>
                <w:szCs w:val="21"/>
              </w:rPr>
            </w:pPr>
            <w:r>
              <w:rPr>
                <w:rFonts w:eastAsia="仿宋_GB2312"/>
                <w:color w:val="000000"/>
                <w:kern w:val="0"/>
                <w:szCs w:val="21"/>
              </w:rPr>
              <w:t>成本指标</w:t>
            </w:r>
          </w:p>
        </w:tc>
        <w:tc>
          <w:tcPr>
            <w:tcW w:w="1148"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预算控制数</w:t>
            </w:r>
            <w:r>
              <w:rPr>
                <w:rFonts w:hint="eastAsia" w:eastAsia="仿宋_GB2312"/>
                <w:color w:val="000000"/>
                <w:kern w:val="0"/>
                <w:szCs w:val="21"/>
              </w:rPr>
              <w:tab/>
            </w:r>
            <w:r>
              <w:rPr>
                <w:rFonts w:hint="eastAsia" w:eastAsia="仿宋_GB2312"/>
                <w:color w:val="000000"/>
                <w:kern w:val="0"/>
                <w:szCs w:val="21"/>
              </w:rPr>
              <w:t>　</w:t>
            </w:r>
          </w:p>
        </w:tc>
        <w:tc>
          <w:tcPr>
            <w:tcW w:w="1157" w:type="dxa"/>
            <w:vAlign w:val="center"/>
          </w:tcPr>
          <w:p>
            <w:pPr>
              <w:spacing w:line="360" w:lineRule="exact"/>
              <w:jc w:val="left"/>
              <w:rPr>
                <w:rFonts w:eastAsia="仿宋_GB2312"/>
                <w:color w:val="000000"/>
                <w:kern w:val="0"/>
                <w:szCs w:val="21"/>
              </w:rPr>
            </w:pPr>
            <w:r>
              <w:rPr>
                <w:rFonts w:hint="eastAsia" w:eastAsia="仿宋_GB2312"/>
                <w:color w:val="000000"/>
                <w:kern w:val="0"/>
                <w:szCs w:val="21"/>
                <w:lang w:val="en-US" w:eastAsia="zh-CN"/>
              </w:rPr>
              <w:t>195</w:t>
            </w:r>
            <w:r>
              <w:rPr>
                <w:rFonts w:hint="eastAsia" w:eastAsia="仿宋_GB2312"/>
                <w:color w:val="000000"/>
                <w:kern w:val="0"/>
                <w:szCs w:val="21"/>
              </w:rPr>
              <w:t>万元</w:t>
            </w:r>
          </w:p>
        </w:tc>
        <w:tc>
          <w:tcPr>
            <w:tcW w:w="1546" w:type="dxa"/>
            <w:vAlign w:val="center"/>
          </w:tcPr>
          <w:p>
            <w:pPr>
              <w:spacing w:line="360" w:lineRule="exact"/>
              <w:jc w:val="left"/>
              <w:rPr>
                <w:rFonts w:eastAsia="仿宋_GB2312"/>
                <w:color w:val="000000"/>
                <w:kern w:val="0"/>
                <w:szCs w:val="21"/>
              </w:rPr>
            </w:pPr>
            <w:r>
              <w:rPr>
                <w:rFonts w:hint="eastAsia" w:eastAsia="仿宋_GB2312"/>
                <w:color w:val="000000"/>
                <w:kern w:val="0"/>
                <w:szCs w:val="21"/>
              </w:rPr>
              <w:t>财政预算</w:t>
            </w:r>
            <w:r>
              <w:rPr>
                <w:rFonts w:hint="eastAsia" w:eastAsia="仿宋_GB2312"/>
                <w:color w:val="000000"/>
                <w:kern w:val="0"/>
                <w:szCs w:val="21"/>
                <w:lang w:val="en-US" w:eastAsia="zh-CN"/>
              </w:rPr>
              <w:t>195</w:t>
            </w:r>
            <w:r>
              <w:rPr>
                <w:rFonts w:hint="eastAsia" w:eastAsia="仿宋_GB2312"/>
                <w:color w:val="000000"/>
                <w:kern w:val="0"/>
                <w:szCs w:val="21"/>
              </w:rPr>
              <w:t>万元</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restart"/>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效益</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指标</w:t>
            </w:r>
          </w:p>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（30分）　</w:t>
            </w:r>
          </w:p>
        </w:tc>
        <w:tc>
          <w:tcPr>
            <w:tcW w:w="1143" w:type="dxa"/>
            <w:vMerge w:val="restart"/>
            <w:vAlign w:val="center"/>
          </w:tcPr>
          <w:p>
            <w:pPr>
              <w:spacing w:line="320" w:lineRule="exact"/>
              <w:jc w:val="center"/>
              <w:rPr>
                <w:rFonts w:eastAsia="仿宋_GB2312"/>
                <w:color w:val="000000"/>
                <w:kern w:val="0"/>
                <w:szCs w:val="21"/>
              </w:rPr>
            </w:pPr>
            <w:r>
              <w:rPr>
                <w:rFonts w:eastAsia="仿宋_GB2312"/>
                <w:color w:val="000000"/>
                <w:kern w:val="0"/>
                <w:szCs w:val="21"/>
              </w:rPr>
              <w:t>经济效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pPr>
              <w:spacing w:line="360" w:lineRule="exact"/>
              <w:jc w:val="left"/>
              <w:rPr>
                <w:rFonts w:eastAsia="仿宋_GB2312"/>
                <w:color w:val="000000"/>
                <w:kern w:val="0"/>
                <w:szCs w:val="21"/>
              </w:rPr>
            </w:pPr>
          </w:p>
        </w:tc>
        <w:tc>
          <w:tcPr>
            <w:tcW w:w="1157"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54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Merge w:val="continue"/>
            <w:vAlign w:val="center"/>
          </w:tcPr>
          <w:p>
            <w:pPr>
              <w:spacing w:line="320" w:lineRule="exact"/>
              <w:jc w:val="center"/>
              <w:rPr>
                <w:rFonts w:eastAsia="仿宋_GB2312"/>
                <w:color w:val="000000"/>
                <w:kern w:val="0"/>
                <w:szCs w:val="21"/>
              </w:rPr>
            </w:pPr>
          </w:p>
        </w:tc>
        <w:tc>
          <w:tcPr>
            <w:tcW w:w="1148" w:type="dxa"/>
            <w:vAlign w:val="center"/>
          </w:tcPr>
          <w:p>
            <w:pPr>
              <w:spacing w:line="360" w:lineRule="exact"/>
              <w:jc w:val="center"/>
              <w:rPr>
                <w:rFonts w:eastAsia="仿宋_GB2312"/>
                <w:szCs w:val="21"/>
              </w:rPr>
            </w:pPr>
          </w:p>
        </w:tc>
        <w:tc>
          <w:tcPr>
            <w:tcW w:w="1157" w:type="dxa"/>
            <w:vAlign w:val="center"/>
          </w:tcPr>
          <w:p>
            <w:pPr>
              <w:jc w:val="center"/>
              <w:rPr>
                <w:rFonts w:eastAsia="仿宋_GB2312"/>
                <w:szCs w:val="21"/>
              </w:rPr>
            </w:pPr>
          </w:p>
        </w:tc>
        <w:tc>
          <w:tcPr>
            <w:tcW w:w="1546" w:type="dxa"/>
            <w:vAlign w:val="center"/>
          </w:tcPr>
          <w:p>
            <w:pPr>
              <w:jc w:val="center"/>
              <w:rPr>
                <w:rFonts w:eastAsia="仿宋_GB2312"/>
                <w:szCs w:val="21"/>
              </w:rPr>
            </w:pP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20" w:lineRule="exact"/>
              <w:jc w:val="center"/>
              <w:rPr>
                <w:rFonts w:eastAsia="仿宋_GB2312"/>
                <w:color w:val="000000"/>
                <w:kern w:val="0"/>
                <w:szCs w:val="21"/>
              </w:rPr>
            </w:pPr>
            <w:r>
              <w:rPr>
                <w:rFonts w:eastAsia="仿宋_GB2312"/>
                <w:color w:val="000000"/>
                <w:kern w:val="0"/>
                <w:szCs w:val="21"/>
              </w:rPr>
              <w:t>社会效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pPr>
              <w:spacing w:line="360" w:lineRule="exact"/>
              <w:jc w:val="center"/>
              <w:rPr>
                <w:rFonts w:hint="eastAsia" w:eastAsia="仿宋_GB2312"/>
                <w:szCs w:val="21"/>
                <w:lang w:eastAsia="zh-CN"/>
              </w:rPr>
            </w:pPr>
            <w:r>
              <w:rPr>
                <w:rFonts w:hint="eastAsia" w:eastAsia="仿宋_GB2312"/>
                <w:szCs w:val="21"/>
                <w:lang w:eastAsia="zh-CN"/>
              </w:rPr>
              <w:t>提高村民生活质量</w:t>
            </w:r>
          </w:p>
        </w:tc>
        <w:tc>
          <w:tcPr>
            <w:tcW w:w="1157" w:type="dxa"/>
            <w:vAlign w:val="center"/>
          </w:tcPr>
          <w:p>
            <w:pPr>
              <w:jc w:val="center"/>
              <w:rPr>
                <w:rFonts w:eastAsia="仿宋_GB2312"/>
                <w:szCs w:val="21"/>
              </w:rPr>
            </w:pPr>
          </w:p>
        </w:tc>
        <w:tc>
          <w:tcPr>
            <w:tcW w:w="1546" w:type="dxa"/>
            <w:vAlign w:val="center"/>
          </w:tcPr>
          <w:p>
            <w:pPr>
              <w:jc w:val="center"/>
              <w:rPr>
                <w:rFonts w:eastAsia="仿宋_GB2312"/>
                <w:szCs w:val="21"/>
              </w:rPr>
            </w:pPr>
            <w:r>
              <w:rPr>
                <w:rFonts w:hint="eastAsia" w:eastAsia="仿宋_GB2312"/>
                <w:szCs w:val="21"/>
                <w:lang w:eastAsia="zh-CN"/>
              </w:rPr>
              <w:t>提高村民生活质量</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20" w:lineRule="exact"/>
              <w:jc w:val="center"/>
              <w:rPr>
                <w:rFonts w:eastAsia="仿宋_GB2312"/>
                <w:color w:val="000000"/>
                <w:kern w:val="0"/>
                <w:szCs w:val="21"/>
              </w:rPr>
            </w:pPr>
            <w:r>
              <w:rPr>
                <w:rFonts w:eastAsia="仿宋_GB2312"/>
                <w:color w:val="000000"/>
                <w:kern w:val="0"/>
                <w:szCs w:val="21"/>
              </w:rPr>
              <w:t>生态效</w:t>
            </w:r>
          </w:p>
          <w:p>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pPr>
              <w:spacing w:line="360" w:lineRule="exact"/>
              <w:jc w:val="center"/>
              <w:rPr>
                <w:rFonts w:hint="eastAsia" w:eastAsia="仿宋_GB2312"/>
                <w:szCs w:val="21"/>
                <w:lang w:eastAsia="zh-CN"/>
              </w:rPr>
            </w:pPr>
            <w:r>
              <w:rPr>
                <w:rFonts w:hint="eastAsia" w:eastAsia="仿宋_GB2312"/>
                <w:szCs w:val="21"/>
                <w:lang w:eastAsia="zh-CN"/>
              </w:rPr>
              <w:t>改善农村人居环境</w:t>
            </w:r>
          </w:p>
        </w:tc>
        <w:tc>
          <w:tcPr>
            <w:tcW w:w="1157" w:type="dxa"/>
            <w:vAlign w:val="center"/>
          </w:tcPr>
          <w:p>
            <w:pPr>
              <w:jc w:val="center"/>
              <w:rPr>
                <w:rFonts w:eastAsia="仿宋_GB2312"/>
                <w:szCs w:val="21"/>
              </w:rPr>
            </w:pPr>
          </w:p>
        </w:tc>
        <w:tc>
          <w:tcPr>
            <w:tcW w:w="1546" w:type="dxa"/>
            <w:vAlign w:val="center"/>
          </w:tcPr>
          <w:p>
            <w:pPr>
              <w:jc w:val="center"/>
              <w:rPr>
                <w:rFonts w:eastAsia="仿宋_GB2312"/>
                <w:szCs w:val="21"/>
              </w:rPr>
            </w:pPr>
            <w:r>
              <w:rPr>
                <w:rFonts w:hint="eastAsia" w:eastAsia="仿宋_GB2312"/>
                <w:szCs w:val="21"/>
                <w:lang w:eastAsia="zh-CN"/>
              </w:rPr>
              <w:t>农村人居环境得到改善</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center"/>
              <w:rPr>
                <w:rFonts w:eastAsia="仿宋_GB2312"/>
                <w:color w:val="000000"/>
                <w:kern w:val="0"/>
                <w:szCs w:val="21"/>
              </w:rPr>
            </w:pPr>
          </w:p>
        </w:tc>
        <w:tc>
          <w:tcPr>
            <w:tcW w:w="959" w:type="dxa"/>
            <w:vMerge w:val="continue"/>
            <w:vAlign w:val="center"/>
          </w:tcPr>
          <w:p>
            <w:pPr>
              <w:spacing w:line="360" w:lineRule="exact"/>
              <w:jc w:val="left"/>
              <w:rPr>
                <w:rFonts w:ascii="仿宋_GB2312" w:eastAsia="仿宋_GB2312"/>
                <w:color w:val="000000"/>
                <w:kern w:val="0"/>
                <w:szCs w:val="21"/>
              </w:rPr>
            </w:pPr>
          </w:p>
        </w:tc>
        <w:tc>
          <w:tcPr>
            <w:tcW w:w="1143" w:type="dxa"/>
            <w:vAlign w:val="center"/>
          </w:tcPr>
          <w:p>
            <w:pPr>
              <w:spacing w:line="320" w:lineRule="exact"/>
              <w:jc w:val="center"/>
              <w:rPr>
                <w:rFonts w:eastAsia="仿宋_GB2312"/>
                <w:color w:val="000000"/>
                <w:kern w:val="0"/>
                <w:szCs w:val="21"/>
              </w:rPr>
            </w:pPr>
            <w:r>
              <w:rPr>
                <w:rFonts w:eastAsia="仿宋_GB2312"/>
                <w:color w:val="000000"/>
                <w:kern w:val="0"/>
                <w:szCs w:val="21"/>
              </w:rPr>
              <w:t>可持续影响指标</w:t>
            </w:r>
          </w:p>
        </w:tc>
        <w:tc>
          <w:tcPr>
            <w:tcW w:w="1148" w:type="dxa"/>
            <w:vAlign w:val="center"/>
          </w:tcPr>
          <w:p>
            <w:pPr>
              <w:spacing w:line="360" w:lineRule="exact"/>
              <w:jc w:val="left"/>
              <w:rPr>
                <w:rFonts w:eastAsia="仿宋_GB2312"/>
                <w:color w:val="000000"/>
                <w:kern w:val="0"/>
                <w:szCs w:val="21"/>
              </w:rPr>
            </w:pPr>
          </w:p>
        </w:tc>
        <w:tc>
          <w:tcPr>
            <w:tcW w:w="1157"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54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vMerge w:val="continue"/>
            <w:vAlign w:val="center"/>
          </w:tcPr>
          <w:p>
            <w:pPr>
              <w:spacing w:line="360" w:lineRule="exact"/>
              <w:jc w:val="left"/>
              <w:rPr>
                <w:rFonts w:eastAsia="仿宋_GB2312"/>
                <w:color w:val="000000"/>
                <w:kern w:val="0"/>
                <w:szCs w:val="21"/>
              </w:rPr>
            </w:pPr>
          </w:p>
        </w:tc>
        <w:tc>
          <w:tcPr>
            <w:tcW w:w="959" w:type="dxa"/>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满意度</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指  标</w:t>
            </w:r>
          </w:p>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（10分）</w:t>
            </w:r>
          </w:p>
        </w:tc>
        <w:tc>
          <w:tcPr>
            <w:tcW w:w="1143" w:type="dxa"/>
            <w:vAlign w:val="center"/>
          </w:tcPr>
          <w:p>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148" w:type="dxa"/>
            <w:vAlign w:val="center"/>
          </w:tcPr>
          <w:p>
            <w:pPr>
              <w:spacing w:line="360" w:lineRule="exact"/>
              <w:jc w:val="center"/>
              <w:rPr>
                <w:rFonts w:eastAsia="仿宋_GB2312"/>
                <w:szCs w:val="21"/>
              </w:rPr>
            </w:pPr>
            <w:r>
              <w:rPr>
                <w:rFonts w:hint="eastAsia" w:eastAsia="仿宋_GB2312"/>
                <w:szCs w:val="21"/>
              </w:rPr>
              <w:t>服务对象满意度</w:t>
            </w:r>
          </w:p>
        </w:tc>
        <w:tc>
          <w:tcPr>
            <w:tcW w:w="1157" w:type="dxa"/>
            <w:vAlign w:val="center"/>
          </w:tcPr>
          <w:p>
            <w:pPr>
              <w:jc w:val="center"/>
              <w:rPr>
                <w:rFonts w:eastAsia="仿宋_GB2312"/>
                <w:szCs w:val="21"/>
              </w:rPr>
            </w:pPr>
            <w:r>
              <w:rPr>
                <w:rFonts w:hint="eastAsia" w:eastAsia="仿宋_GB2312"/>
                <w:szCs w:val="21"/>
              </w:rPr>
              <w:t>90</w:t>
            </w:r>
            <w:bookmarkStart w:id="0" w:name="_GoBack"/>
            <w:bookmarkEnd w:id="0"/>
            <w:r>
              <w:rPr>
                <w:rFonts w:hint="eastAsia" w:eastAsia="仿宋_GB2312"/>
                <w:szCs w:val="21"/>
              </w:rPr>
              <w:t>%以上</w:t>
            </w:r>
          </w:p>
        </w:tc>
        <w:tc>
          <w:tcPr>
            <w:tcW w:w="1546" w:type="dxa"/>
            <w:vAlign w:val="center"/>
          </w:tcPr>
          <w:p>
            <w:pPr>
              <w:jc w:val="center"/>
              <w:rPr>
                <w:rFonts w:eastAsia="仿宋_GB2312"/>
                <w:szCs w:val="21"/>
              </w:rPr>
            </w:pPr>
            <w:r>
              <w:rPr>
                <w:rFonts w:hint="eastAsia" w:eastAsia="仿宋_GB2312"/>
                <w:szCs w:val="21"/>
              </w:rPr>
              <w:t>95%</w:t>
            </w:r>
          </w:p>
        </w:tc>
        <w:tc>
          <w:tcPr>
            <w:tcW w:w="800"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832"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26" w:type="dxa"/>
            <w:vAlign w:val="center"/>
          </w:tcPr>
          <w:p>
            <w:pPr>
              <w:spacing w:line="360" w:lineRule="exact"/>
              <w:jc w:val="left"/>
              <w:rPr>
                <w:rFonts w:eastAsia="仿宋_GB2312"/>
                <w:color w:val="000000"/>
                <w:kern w:val="0"/>
                <w:szCs w:val="21"/>
              </w:rPr>
            </w:pP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41" w:type="dxa"/>
            <w:gridSpan w:val="6"/>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总分</w:t>
            </w:r>
          </w:p>
        </w:tc>
        <w:tc>
          <w:tcPr>
            <w:tcW w:w="800" w:type="dxa"/>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100</w:t>
            </w:r>
          </w:p>
        </w:tc>
        <w:tc>
          <w:tcPr>
            <w:tcW w:w="832" w:type="dxa"/>
            <w:vAlign w:val="center"/>
          </w:tcPr>
          <w:p>
            <w:pPr>
              <w:spacing w:line="360" w:lineRule="exact"/>
              <w:jc w:val="center"/>
              <w:rPr>
                <w:rFonts w:ascii="仿宋_GB2312" w:eastAsia="仿宋_GB2312"/>
                <w:color w:val="000000"/>
                <w:kern w:val="0"/>
                <w:szCs w:val="21"/>
              </w:rPr>
            </w:pPr>
            <w:r>
              <w:rPr>
                <w:rFonts w:hint="eastAsia" w:ascii="仿宋_GB2312" w:eastAsia="仿宋_GB2312"/>
                <w:color w:val="000000"/>
                <w:kern w:val="0"/>
                <w:szCs w:val="21"/>
              </w:rPr>
              <w:t>98</w:t>
            </w:r>
          </w:p>
        </w:tc>
        <w:tc>
          <w:tcPr>
            <w:tcW w:w="1326" w:type="dxa"/>
            <w:vAlign w:val="center"/>
          </w:tcPr>
          <w:p>
            <w:pPr>
              <w:spacing w:line="360" w:lineRule="exact"/>
              <w:jc w:val="center"/>
              <w:rPr>
                <w:rFonts w:ascii="仿宋_GB2312" w:eastAsia="仿宋_GB2312"/>
                <w:color w:val="000000"/>
                <w:kern w:val="0"/>
                <w:szCs w:val="21"/>
              </w:rPr>
            </w:pPr>
          </w:p>
        </w:tc>
      </w:tr>
    </w:tbl>
    <w:p>
      <w:pPr>
        <w:spacing w:line="320" w:lineRule="exact"/>
        <w:rPr>
          <w:rFonts w:eastAsia="仿宋_GB2312"/>
          <w:sz w:val="24"/>
        </w:rPr>
      </w:pPr>
      <w:r>
        <w:rPr>
          <w:rFonts w:eastAsia="仿宋_GB2312"/>
          <w:sz w:val="24"/>
        </w:rPr>
        <w:t>填表人：</w:t>
      </w:r>
      <w:r>
        <w:rPr>
          <w:rFonts w:hint="eastAsia" w:eastAsia="仿宋_GB2312"/>
          <w:sz w:val="24"/>
        </w:rPr>
        <w:t>李文利</w:t>
      </w:r>
      <w:r>
        <w:rPr>
          <w:rFonts w:eastAsia="仿宋_GB2312"/>
          <w:sz w:val="24"/>
        </w:rPr>
        <w:t xml:space="preserve">  填报日期：</w:t>
      </w:r>
      <w:r>
        <w:rPr>
          <w:rFonts w:hint="eastAsia" w:eastAsia="仿宋_GB2312"/>
          <w:sz w:val="24"/>
        </w:rPr>
        <w:t>202</w:t>
      </w:r>
      <w:r>
        <w:rPr>
          <w:rFonts w:hint="eastAsia" w:eastAsia="仿宋_GB2312"/>
          <w:sz w:val="24"/>
          <w:lang w:val="en-US" w:eastAsia="zh-CN"/>
        </w:rPr>
        <w:t>3</w:t>
      </w:r>
      <w:r>
        <w:rPr>
          <w:rFonts w:hint="eastAsia" w:eastAsia="仿宋_GB2312"/>
          <w:sz w:val="24"/>
        </w:rPr>
        <w:t>.</w:t>
      </w:r>
      <w:r>
        <w:rPr>
          <w:rFonts w:hint="eastAsia" w:eastAsia="仿宋_GB2312"/>
          <w:sz w:val="24"/>
          <w:lang w:val="en-US" w:eastAsia="zh-CN"/>
        </w:rPr>
        <w:t>6</w:t>
      </w:r>
      <w:r>
        <w:rPr>
          <w:rFonts w:hint="eastAsia" w:eastAsia="仿宋_GB2312"/>
          <w:sz w:val="24"/>
        </w:rPr>
        <w:t>.12</w:t>
      </w:r>
      <w:r>
        <w:rPr>
          <w:rFonts w:eastAsia="仿宋_GB2312"/>
          <w:sz w:val="24"/>
        </w:rPr>
        <w:t xml:space="preserve">  联系电话：</w:t>
      </w:r>
      <w:r>
        <w:rPr>
          <w:rFonts w:hint="eastAsia" w:eastAsia="仿宋_GB2312"/>
          <w:sz w:val="24"/>
        </w:rPr>
        <w:t>8481909</w:t>
      </w:r>
      <w:r>
        <w:rPr>
          <w:rFonts w:eastAsia="仿宋_GB2312"/>
          <w:sz w:val="24"/>
        </w:rPr>
        <w:t xml:space="preserve"> 单位负责人签字：</w:t>
      </w:r>
    </w:p>
    <w:tbl>
      <w:tblPr>
        <w:tblStyle w:val="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8" w:hRule="atLeast"/>
          <w:jc w:val="center"/>
        </w:trPr>
        <w:tc>
          <w:tcPr>
            <w:tcW w:w="9369" w:type="dxa"/>
          </w:tcPr>
          <w:p>
            <w:pPr>
              <w:spacing w:line="480" w:lineRule="exact"/>
              <w:jc w:val="center"/>
              <w:rPr>
                <w:rFonts w:eastAsia="仿宋_GB2312"/>
                <w:b/>
                <w:bCs/>
                <w:sz w:val="28"/>
                <w:szCs w:val="28"/>
              </w:rPr>
            </w:pPr>
            <w:r>
              <w:rPr>
                <w:rFonts w:eastAsia="黑体"/>
                <w:sz w:val="32"/>
                <w:szCs w:val="32"/>
              </w:rPr>
              <w:br w:type="page"/>
            </w:r>
            <w:r>
              <w:rPr>
                <w:rFonts w:hint="eastAsia" w:ascii="黑体" w:hAnsi="黑体" w:eastAsia="黑体"/>
                <w:bCs/>
                <w:sz w:val="28"/>
                <w:szCs w:val="28"/>
              </w:rPr>
              <w:t>五、评价报告综述</w:t>
            </w:r>
          </w:p>
          <w:p>
            <w:pPr>
              <w:spacing w:line="480" w:lineRule="exact"/>
              <w:ind w:firstLine="640" w:firstLineChars="200"/>
              <w:rPr>
                <w:rFonts w:eastAsia="仿宋_GB2312"/>
                <w:sz w:val="32"/>
                <w:szCs w:val="32"/>
              </w:rPr>
            </w:pP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一、预算支出概况</w:t>
            </w:r>
          </w:p>
          <w:p>
            <w:pPr>
              <w:ind w:firstLine="480" w:firstLineChars="200"/>
              <w:rPr>
                <w:rFonts w:ascii="仿宋" w:hAnsi="仿宋" w:eastAsia="仿宋" w:cstheme="minorEastAsia"/>
                <w:sz w:val="24"/>
              </w:rPr>
            </w:pPr>
            <w:r>
              <w:rPr>
                <w:rFonts w:hint="eastAsia" w:ascii="仿宋" w:hAnsi="仿宋" w:eastAsia="仿宋" w:cstheme="minorEastAsia"/>
                <w:sz w:val="24"/>
              </w:rPr>
              <w:t>202</w:t>
            </w:r>
            <w:r>
              <w:rPr>
                <w:rFonts w:hint="eastAsia" w:ascii="仿宋" w:hAnsi="仿宋" w:eastAsia="仿宋" w:cstheme="minorEastAsia"/>
                <w:sz w:val="24"/>
                <w:lang w:val="en-US" w:eastAsia="zh-CN"/>
              </w:rPr>
              <w:t>2</w:t>
            </w:r>
            <w:r>
              <w:rPr>
                <w:rFonts w:hint="eastAsia" w:ascii="仿宋" w:hAnsi="仿宋" w:eastAsia="仿宋" w:cstheme="minorEastAsia"/>
                <w:sz w:val="24"/>
              </w:rPr>
              <w:t>年我区共有城区车行道、人行道清扫保洁面积共58.35万平方米，其中一级道路38.82万平方米，二级道路12.1万平方米，三级2.52万平方米，四级4.91万平方米,道路洒水36.7万平方米；道路冲洗40.2万平方米；公厕维护保洁6座；垃圾站维护保洁6座；环卫作业车辆19台。负责城区和农村垃圾环境卫生设施运营与维护，垃圾收集运输。全年累计清运垃圾约20160吨，确保生活垃圾日产日清,垃圾无害化处理率100%。</w:t>
            </w:r>
          </w:p>
          <w:p>
            <w:pPr>
              <w:pStyle w:val="4"/>
              <w:shd w:val="clear" w:color="auto" w:fill="FFFFFF"/>
              <w:spacing w:before="0" w:beforeAutospacing="0" w:after="0" w:afterAutospacing="0" w:line="360" w:lineRule="auto"/>
              <w:ind w:firstLine="480"/>
              <w:jc w:val="both"/>
              <w:rPr>
                <w:rFonts w:ascii="仿宋" w:hAnsi="仿宋" w:eastAsia="仿宋"/>
                <w:color w:val="000000" w:themeColor="text1"/>
              </w:rPr>
            </w:pP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二、预算资金使用及管理情况</w:t>
            </w:r>
          </w:p>
          <w:p>
            <w:pPr>
              <w:adjustRightInd w:val="0"/>
              <w:snapToGrid w:val="0"/>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202</w:t>
            </w:r>
            <w:r>
              <w:rPr>
                <w:rFonts w:hint="eastAsia" w:ascii="仿宋_GB2312" w:hAnsi="宋体" w:eastAsia="仿宋_GB2312" w:cs="宋体"/>
                <w:sz w:val="24"/>
                <w:lang w:val="en-US" w:eastAsia="zh-CN"/>
              </w:rPr>
              <w:t>2</w:t>
            </w:r>
            <w:r>
              <w:rPr>
                <w:rFonts w:hint="eastAsia" w:ascii="仿宋_GB2312" w:hAnsi="宋体" w:eastAsia="仿宋_GB2312" w:cs="宋体"/>
                <w:sz w:val="24"/>
              </w:rPr>
              <w:t>年，区财政环卫车预算资金195万元，实际下拨资金195万元。</w:t>
            </w:r>
            <w:r>
              <w:rPr>
                <w:rFonts w:hint="eastAsia" w:ascii="仿宋_GB2312" w:hAnsi="宋体" w:eastAsia="仿宋_GB2312" w:cs="宋体"/>
                <w:sz w:val="24"/>
                <w:lang w:eastAsia="zh-CN"/>
              </w:rPr>
              <w:t>使用资金</w:t>
            </w:r>
            <w:r>
              <w:rPr>
                <w:rFonts w:hint="eastAsia" w:ascii="仿宋_GB2312" w:hAnsi="宋体" w:eastAsia="仿宋_GB2312" w:cs="宋体"/>
                <w:sz w:val="24"/>
                <w:lang w:val="en-US" w:eastAsia="zh-CN"/>
              </w:rPr>
              <w:t>239万元</w:t>
            </w:r>
            <w:r>
              <w:rPr>
                <w:rFonts w:hint="eastAsia" w:ascii="仿宋_GB2312" w:hAnsi="宋体" w:eastAsia="仿宋_GB2312" w:cs="宋体"/>
                <w:sz w:val="24"/>
              </w:rPr>
              <w:t>，主要用于</w:t>
            </w:r>
            <w:r>
              <w:rPr>
                <w:rFonts w:hint="eastAsia" w:ascii="仿宋_GB2312" w:hAnsi="宋体" w:eastAsia="仿宋_GB2312" w:cs="宋体"/>
                <w:sz w:val="24"/>
                <w:lang w:eastAsia="zh-CN"/>
              </w:rPr>
              <w:t>车辆驾驶员工资、</w:t>
            </w:r>
            <w:r>
              <w:rPr>
                <w:rFonts w:hint="eastAsia" w:ascii="仿宋_GB2312" w:hAnsi="宋体" w:eastAsia="仿宋_GB2312" w:cs="宋体"/>
                <w:sz w:val="24"/>
              </w:rPr>
              <w:t>垃圾车维修、油料、车检及购买车辆保险费等。资金使用规范，注重绩效，支出审批程序严格，厉行节约，支出费用合理，确保了专款专用，最大限度地提高资金的使用效益。所有公用支出都按照先计划再审批最后使用的原则进行。</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三、预算支出组织实施情况</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1、创新推进示范管理。大力践行“街长制”，制定了《督查工作实施方案》，明确每个职工负责</w:t>
            </w:r>
            <w:r>
              <w:rPr>
                <w:rFonts w:ascii="仿宋" w:hAnsi="仿宋" w:eastAsia="仿宋" w:cs="宋体"/>
                <w:color w:val="000000"/>
                <w:kern w:val="0"/>
                <w:sz w:val="24"/>
              </w:rPr>
              <w:t>1</w:t>
            </w:r>
            <w:r>
              <w:rPr>
                <w:rFonts w:hint="eastAsia" w:ascii="仿宋" w:hAnsi="仿宋" w:eastAsia="仿宋" w:cs="宋体"/>
                <w:color w:val="000000"/>
                <w:kern w:val="0"/>
                <w:sz w:val="24"/>
              </w:rPr>
              <w:t>-</w:t>
            </w:r>
            <w:r>
              <w:rPr>
                <w:rFonts w:ascii="仿宋" w:hAnsi="仿宋" w:eastAsia="仿宋" w:cs="宋体"/>
                <w:color w:val="000000"/>
                <w:kern w:val="0"/>
                <w:sz w:val="24"/>
              </w:rPr>
              <w:t>3</w:t>
            </w:r>
            <w:r>
              <w:rPr>
                <w:rFonts w:hint="eastAsia" w:ascii="仿宋" w:hAnsi="仿宋" w:eastAsia="仿宋" w:cs="宋体"/>
                <w:color w:val="000000"/>
                <w:kern w:val="0"/>
                <w:sz w:val="24"/>
              </w:rPr>
              <w:t>条道路，每天到责任路段巡查</w:t>
            </w:r>
            <w:r>
              <w:rPr>
                <w:rFonts w:ascii="仿宋" w:hAnsi="仿宋" w:eastAsia="仿宋" w:cs="宋体"/>
                <w:color w:val="000000"/>
                <w:kern w:val="0"/>
                <w:sz w:val="24"/>
              </w:rPr>
              <w:t>1</w:t>
            </w:r>
            <w:r>
              <w:rPr>
                <w:rFonts w:hint="eastAsia" w:ascii="仿宋" w:hAnsi="仿宋" w:eastAsia="仿宋" w:cs="宋体"/>
                <w:color w:val="000000"/>
                <w:kern w:val="0"/>
                <w:sz w:val="24"/>
              </w:rPr>
              <w:t>次以上，将发现的问题及时拍照反馈至环卫所工作群，督促责任领导快速整改落实；根据巡查次数、督查发现和解决问题的数量，每月进行奖罚。</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2、创新推进高效管理。建立起解决问题“挂销号”制度，对工作中存在的问题进行登记，每月定期召开工作讲评会，限时办结“销号”，有效杜绝了久拖不决的弊病，提升了工作效率。</w:t>
            </w:r>
          </w:p>
          <w:p>
            <w:pPr>
              <w:widowControl/>
              <w:shd w:val="clear" w:color="auto" w:fill="FFFFFF"/>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全面优化“街道清洗”。充分发挥机械作业的优势，将人、车、路等要素相对捆绑，每天利用洒水车、洗扫车、清洗车等设备，对车行道、人行道、边沿石及交通护栏，进行全方位、高精度洗扫，确保辖区街道全部“路见本色”；同时，将清洗举措向作业设备保洁延伸，每天定时对机械车辆和垃圾箱、果皮筒进行洗、抹、擦，各类设备洁净如新；在设施维护上，对公厕、垃圾站严格落实全天候专人保洁维护制度，环卫设施功能完善，内外环境干净整洁。</w:t>
            </w:r>
          </w:p>
          <w:p>
            <w:pPr>
              <w:adjustRightInd w:val="0"/>
              <w:snapToGrid w:val="0"/>
              <w:spacing w:line="360" w:lineRule="auto"/>
              <w:ind w:firstLine="480" w:firstLineChars="200"/>
              <w:rPr>
                <w:rFonts w:ascii="仿宋" w:hAnsi="仿宋" w:eastAsia="仿宋" w:cs="宋体"/>
                <w:color w:val="000000"/>
                <w:kern w:val="0"/>
                <w:sz w:val="24"/>
              </w:rPr>
            </w:pPr>
            <w:r>
              <w:rPr>
                <w:rFonts w:hint="eastAsia" w:ascii="黑体" w:hAnsi="黑体" w:eastAsia="黑体" w:cs="黑体"/>
                <w:sz w:val="24"/>
              </w:rPr>
              <w:t>四、预算支出绩效情况</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(一)综合评价情况及评价结论</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年，我单位认真落实“出门就是工作，上街就是管理”理念，将环卫事业作为提升城市品位的有效载体来谋划，作为深化全国文明城市建设的重要举措来推进，作为事关群众切身利益的民生大事来落实，引领干部职工奋力打造“美丽幸福新云溪”，主动顺应人民群众日益增长的美好生态环境需要，将环境卫生品质视为环卫工作的生命线，不断调优作业模式，调高作业标准，推动城市环境卫生面貌发生了翻天覆地的变化，进一步提升了城市宜居幸福指数。</w:t>
            </w:r>
          </w:p>
          <w:p>
            <w:pPr>
              <w:widowControl/>
              <w:shd w:val="clear" w:color="auto" w:fill="FFFFFF"/>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kern w:val="0"/>
                <w:sz w:val="24"/>
              </w:rPr>
              <w:t>根据202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年度我单位保洁绩效工作完成情况，</w:t>
            </w:r>
            <w:r>
              <w:rPr>
                <w:rFonts w:hint="eastAsia" w:ascii="仿宋" w:hAnsi="仿宋" w:eastAsia="仿宋" w:cs="宋体"/>
                <w:color w:val="000000" w:themeColor="text1"/>
                <w:kern w:val="0"/>
                <w:sz w:val="24"/>
              </w:rPr>
              <w:t>我所自评打分为98分，考评结果为优。</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 xml:space="preserve"> (二)项目主要绩效情况分析</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1、项目绩效定性目标及实施计划完成情况。预期目标为“达到文明指数测评标准”，实际完成情况为“顺利通过全国文明城市复查测评”。</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２、项目绩效定量目标（指标）及完成情况。在保洁上，辖区所有街道均按分类标准做好了日常清洗、清扫、保洁等工作，实现“路见本色”；在垃圾清运上，配齐了保洁三轮车、勾臂车、压缩车等各类运输设备，无论是街面、果皮筒垃圾的零星收集，庭院、单位、门店垃圾的转运，还是垃圾站垃圾的长途清运，全程实现了机械化和密闭化；在站厕维护上，做到全天候专人维护保洁，方便市民如厕和倒垃圾。同时全年圆满完成全国文明城市复查测评等和各项重大接待保障活动，得到各级领导高度好评。</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五、主要经验做法、存在的问题及原因分析</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环卫工作仍面临着诸多困难和挑战，离上级要求和市民期待还有较大差距，主要表现在：市容卫生工作存在不少短板；环卫机械化作业效率有待进一步挖掘</w:t>
            </w:r>
            <w:r>
              <w:rPr>
                <w:rFonts w:hint="eastAsia" w:ascii="仿宋" w:hAnsi="仿宋" w:eastAsia="仿宋" w:cs="宋体"/>
                <w:color w:val="000000" w:themeColor="text1"/>
                <w:kern w:val="0"/>
                <w:sz w:val="24"/>
              </w:rPr>
              <w:t>；临聘人员综合素质不高</w:t>
            </w:r>
            <w:r>
              <w:rPr>
                <w:rFonts w:hint="eastAsia" w:ascii="仿宋" w:hAnsi="仿宋" w:eastAsia="仿宋" w:cs="宋体"/>
                <w:color w:val="000000"/>
                <w:kern w:val="0"/>
                <w:sz w:val="24"/>
              </w:rPr>
              <w:t>；安全生产形势依然十分严峻等。今后我单位将进一步完善环卫设施设备，提升环卫机械化作业效率；严格控制临聘人员数量，处理好临聘人员的各项诉求；加强干部职工安全意识，多组织安全知识学习，减少安全事故发生率。</w:t>
            </w:r>
          </w:p>
          <w:p>
            <w:pPr>
              <w:adjustRightInd w:val="0"/>
              <w:snapToGrid w:val="0"/>
              <w:spacing w:line="480" w:lineRule="exact"/>
              <w:ind w:firstLine="560" w:firstLineChars="200"/>
              <w:rPr>
                <w:rFonts w:eastAsia="楷体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DAC"/>
    <w:rsid w:val="00022D3A"/>
    <w:rsid w:val="0005278D"/>
    <w:rsid w:val="000A054B"/>
    <w:rsid w:val="000F79E4"/>
    <w:rsid w:val="00101CC0"/>
    <w:rsid w:val="001A5F7D"/>
    <w:rsid w:val="002000F0"/>
    <w:rsid w:val="00243F20"/>
    <w:rsid w:val="003071C0"/>
    <w:rsid w:val="00397FD2"/>
    <w:rsid w:val="0044594F"/>
    <w:rsid w:val="004473BF"/>
    <w:rsid w:val="0046360C"/>
    <w:rsid w:val="0047478D"/>
    <w:rsid w:val="005860F8"/>
    <w:rsid w:val="005B6906"/>
    <w:rsid w:val="0060761D"/>
    <w:rsid w:val="00654503"/>
    <w:rsid w:val="00670B6B"/>
    <w:rsid w:val="006A0810"/>
    <w:rsid w:val="006D31B3"/>
    <w:rsid w:val="00823F66"/>
    <w:rsid w:val="0088122C"/>
    <w:rsid w:val="008A751A"/>
    <w:rsid w:val="008E3547"/>
    <w:rsid w:val="0091337D"/>
    <w:rsid w:val="00962ADE"/>
    <w:rsid w:val="009C16FC"/>
    <w:rsid w:val="00AF6DB6"/>
    <w:rsid w:val="00B01C82"/>
    <w:rsid w:val="00B04548"/>
    <w:rsid w:val="00B170E0"/>
    <w:rsid w:val="00B247CD"/>
    <w:rsid w:val="00B867FF"/>
    <w:rsid w:val="00B87CBD"/>
    <w:rsid w:val="00BB1C4A"/>
    <w:rsid w:val="00BB6AAC"/>
    <w:rsid w:val="00C01D86"/>
    <w:rsid w:val="00C16741"/>
    <w:rsid w:val="00C26DAC"/>
    <w:rsid w:val="00C91AC0"/>
    <w:rsid w:val="00D3380E"/>
    <w:rsid w:val="00D40991"/>
    <w:rsid w:val="00D530F7"/>
    <w:rsid w:val="00E03AA5"/>
    <w:rsid w:val="00E06C52"/>
    <w:rsid w:val="00F33FD7"/>
    <w:rsid w:val="052C0756"/>
    <w:rsid w:val="0B3969C7"/>
    <w:rsid w:val="57F516B8"/>
    <w:rsid w:val="62C10E34"/>
    <w:rsid w:val="685E0354"/>
    <w:rsid w:val="74DD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381</Words>
  <Characters>2176</Characters>
  <Lines>18</Lines>
  <Paragraphs>5</Paragraphs>
  <TotalTime>1</TotalTime>
  <ScaleCrop>false</ScaleCrop>
  <LinksUpToDate>false</LinksUpToDate>
  <CharactersWithSpaces>2552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2022-04-14T00:38:00Z</dcterms:created>
  <dc:creator>Administrator</dc:creator>
  <cp:lastModifiedBy>Administrator</cp:lastModifiedBy>
  <dcterms:modified xsi:type="dcterms:W3CDTF">2023-07-11T08:13:04Z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6F8478972CE64051866757B396DD44B2</vt:lpwstr>
  </property>
</Properties>
</file>