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spacing w:line="540" w:lineRule="exac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2-2</w:t>
      </w:r>
      <w:r>
        <w:rPr>
          <w:rFonts w:hint="eastAsia" w:ascii="黑体" w:hAnsi="黑体" w:eastAsia="黑体" w:cs="黑体"/>
          <w:bCs/>
          <w:sz w:val="32"/>
          <w:szCs w:val="32"/>
        </w:rPr>
        <w:t>：</w:t>
      </w:r>
    </w:p>
    <w:p>
      <w:pPr>
        <w:keepNext w:val="0"/>
        <w:keepLines w:val="0"/>
        <w:pageBreakBefore w:val="0"/>
        <w:kinsoku/>
        <w:overflowPunct/>
        <w:topLinePunct w:val="0"/>
        <w:autoSpaceDE/>
        <w:bidi w:val="0"/>
        <w:spacing w:line="540" w:lineRule="exact"/>
        <w:rPr>
          <w:rFonts w:hint="eastAsia" w:eastAsia="黑体" w:cs="黑体"/>
          <w:bCs/>
          <w:sz w:val="32"/>
          <w:szCs w:val="32"/>
        </w:rPr>
      </w:pPr>
    </w:p>
    <w:p>
      <w:pPr>
        <w:keepNext w:val="0"/>
        <w:keepLines w:val="0"/>
        <w:pageBreakBefore w:val="0"/>
        <w:kinsoku/>
        <w:overflowPunct/>
        <w:topLinePunct w:val="0"/>
        <w:autoSpaceDE/>
        <w:bidi w:val="0"/>
        <w:spacing w:line="540" w:lineRule="exact"/>
        <w:jc w:val="center"/>
        <w:rPr>
          <w:rFonts w:hint="eastAsia" w:eastAsia="方正小标宋简体"/>
          <w:bCs/>
          <w:sz w:val="44"/>
          <w:szCs w:val="44"/>
        </w:rPr>
      </w:pPr>
      <w:r>
        <w:rPr>
          <w:rFonts w:hint="eastAsia" w:eastAsia="方正小标宋简体"/>
          <w:bCs/>
          <w:sz w:val="44"/>
          <w:szCs w:val="44"/>
        </w:rPr>
        <w:t>岳阳市云溪区</w:t>
      </w:r>
      <w:r>
        <w:rPr>
          <w:rFonts w:hint="eastAsia" w:eastAsia="方正小标宋简体"/>
          <w:bCs/>
          <w:sz w:val="44"/>
          <w:szCs w:val="44"/>
          <w:lang w:eastAsia="zh-CN"/>
        </w:rPr>
        <w:t>预算</w:t>
      </w:r>
      <w:r>
        <w:rPr>
          <w:rFonts w:hint="eastAsia" w:eastAsia="方正小标宋简体"/>
          <w:bCs/>
          <w:sz w:val="44"/>
          <w:szCs w:val="44"/>
        </w:rPr>
        <w:t>支出绩效评价自评报告</w:t>
      </w: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kinsoku/>
        <w:overflowPunct/>
        <w:topLinePunct w:val="0"/>
        <w:autoSpaceDE/>
        <w:bidi w:val="0"/>
        <w:spacing w:line="540" w:lineRule="exact"/>
        <w:rPr>
          <w:rFonts w:hint="eastAsia" w:eastAsia="仿宋_GB2312"/>
          <w:b/>
          <w:sz w:val="32"/>
        </w:rPr>
      </w:pPr>
    </w:p>
    <w:p>
      <w:pPr>
        <w:keepNext w:val="0"/>
        <w:keepLines w:val="0"/>
        <w:pageBreakBefore w:val="0"/>
        <w:widowControl w:val="0"/>
        <w:kinsoku/>
        <w:wordWrap/>
        <w:overflowPunct/>
        <w:topLinePunct w:val="0"/>
        <w:autoSpaceDE/>
        <w:autoSpaceDN/>
        <w:bidi w:val="0"/>
        <w:adjustRightInd/>
        <w:snapToGrid/>
        <w:spacing w:line="640" w:lineRule="exact"/>
        <w:ind w:firstLine="470" w:firstLineChars="147"/>
        <w:textAlignment w:val="auto"/>
        <w:rPr>
          <w:rFonts w:hint="eastAsia" w:eastAsia="仿宋_GB2312"/>
          <w:sz w:val="32"/>
          <w:szCs w:val="32"/>
        </w:rPr>
      </w:pPr>
      <w:r>
        <w:rPr>
          <w:rFonts w:hint="eastAsia" w:eastAsia="仿宋_GB2312"/>
          <w:sz w:val="32"/>
          <w:szCs w:val="32"/>
        </w:rPr>
        <w:t>评价类型：项目实施过程评价□   项目完成结果评价□</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val="en-US" w:eastAsia="zh-CN"/>
        </w:rPr>
        <w:t xml:space="preserve"> 乡村振兴衔接专项资金</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 xml:space="preserve">云溪区乡村振兴事务中心 </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云溪区农业农村局</w:t>
      </w:r>
      <w:r>
        <w:rPr>
          <w:rFonts w:hint="eastAsia"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150"/>
        <w:textAlignment w:val="auto"/>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ind w:firstLine="420" w:firstLineChars="150"/>
        <w:rPr>
          <w:rFonts w:hint="eastAsia" w:eastAsia="仿宋_GB2312"/>
          <w:sz w:val="28"/>
          <w:szCs w:val="28"/>
        </w:rPr>
      </w:pP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4</w:t>
      </w:r>
      <w:r>
        <w:rPr>
          <w:rFonts w:hint="eastAsia" w:eastAsia="仿宋_GB2312"/>
          <w:sz w:val="32"/>
        </w:rPr>
        <w:t>月</w:t>
      </w:r>
      <w:r>
        <w:rPr>
          <w:rFonts w:hint="eastAsia" w:eastAsia="仿宋_GB2312"/>
          <w:sz w:val="32"/>
          <w:lang w:val="en-US" w:eastAsia="zh-CN"/>
        </w:rPr>
        <w:t>28</w:t>
      </w:r>
      <w:r>
        <w:rPr>
          <w:rFonts w:hint="eastAsia" w:eastAsia="仿宋_GB2312"/>
          <w:sz w:val="32"/>
        </w:rPr>
        <w:t>日</w:t>
      </w:r>
    </w:p>
    <w:p>
      <w:pPr>
        <w:keepNext w:val="0"/>
        <w:keepLines w:val="0"/>
        <w:pageBreakBefore w:val="0"/>
        <w:kinsoku/>
        <w:overflowPunct/>
        <w:topLinePunct w:val="0"/>
        <w:autoSpaceDE/>
        <w:bidi w:val="0"/>
        <w:spacing w:line="540" w:lineRule="exact"/>
        <w:jc w:val="center"/>
        <w:rPr>
          <w:rFonts w:hint="eastAsia" w:eastAsia="仿宋_GB2312"/>
          <w:sz w:val="32"/>
        </w:rPr>
      </w:pPr>
      <w:r>
        <w:rPr>
          <w:rFonts w:hint="eastAsia" w:eastAsia="仿宋_GB2312"/>
          <w:sz w:val="32"/>
        </w:rPr>
        <w:t>岳阳市云溪区财政局（制）</w:t>
      </w:r>
    </w:p>
    <w:tbl>
      <w:tblPr>
        <w:tblStyle w:val="3"/>
        <w:tblW w:w="9999" w:type="dxa"/>
        <w:jc w:val="center"/>
        <w:tblLayout w:type="autofit"/>
        <w:tblCellMar>
          <w:top w:w="0" w:type="dxa"/>
          <w:left w:w="108" w:type="dxa"/>
          <w:bottom w:w="0" w:type="dxa"/>
          <w:right w:w="108" w:type="dxa"/>
        </w:tblCellMar>
      </w:tblPr>
      <w:tblGrid>
        <w:gridCol w:w="1135"/>
        <w:gridCol w:w="992"/>
        <w:gridCol w:w="1216"/>
        <w:gridCol w:w="1200"/>
        <w:gridCol w:w="1203"/>
        <w:gridCol w:w="1134"/>
        <w:gridCol w:w="828"/>
        <w:gridCol w:w="873"/>
        <w:gridCol w:w="1418"/>
      </w:tblGrid>
      <w:tr>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noWrap/>
            <w:vAlign w:val="center"/>
          </w:tcPr>
          <w:p>
            <w:pPr>
              <w:keepNext w:val="0"/>
              <w:keepLines w:val="0"/>
              <w:pageBreakBefore w:val="0"/>
              <w:widowControl/>
              <w:kinsoku/>
              <w:overflowPunct/>
              <w:topLinePunct w:val="0"/>
              <w:autoSpaceDE/>
              <w:bidi w:val="0"/>
              <w:spacing w:line="540" w:lineRule="exact"/>
              <w:jc w:val="center"/>
              <w:rPr>
                <w:rFonts w:eastAsia="方正小标宋_GBK"/>
                <w:color w:val="000000"/>
                <w:kern w:val="0"/>
                <w:sz w:val="36"/>
                <w:szCs w:val="36"/>
              </w:rPr>
            </w:pP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keepNext w:val="0"/>
              <w:keepLines w:val="0"/>
              <w:pageBreakBefore w:val="0"/>
              <w:widowControl/>
              <w:kinsoku/>
              <w:overflowPunct/>
              <w:topLinePunct w:val="0"/>
              <w:autoSpaceDE/>
              <w:bidi w:val="0"/>
              <w:spacing w:line="540" w:lineRule="exact"/>
              <w:jc w:val="center"/>
              <w:rPr>
                <w:color w:val="000000"/>
                <w:kern w:val="0"/>
                <w:sz w:val="22"/>
              </w:rPr>
            </w:pPr>
          </w:p>
        </w:tc>
      </w:tr>
      <w:tr>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项目支</w:t>
            </w:r>
          </w:p>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hint="eastAsia" w:eastAsia="仿宋_GB2312"/>
                <w:color w:val="000000"/>
                <w:kern w:val="0"/>
                <w:szCs w:val="21"/>
                <w:lang w:val="en-US" w:eastAsia="zh-CN"/>
              </w:rPr>
              <w:t>巩固拓展脱贫攻坚成果与乡村振兴有效衔接专项资金</w:t>
            </w: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left"/>
              <w:rPr>
                <w:rFonts w:eastAsia="仿宋_GB2312"/>
                <w:color w:val="000000"/>
                <w:kern w:val="0"/>
                <w:szCs w:val="21"/>
              </w:rPr>
            </w:pPr>
            <w:r>
              <w:rPr>
                <w:rFonts w:eastAsia="仿宋_GB2312"/>
                <w:color w:val="000000"/>
                <w:kern w:val="0"/>
                <w:szCs w:val="21"/>
              </w:rPr>
              <w:t>主管部门</w:t>
            </w:r>
          </w:p>
        </w:tc>
        <w:tc>
          <w:tcPr>
            <w:tcW w:w="461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农业农村局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overflowPunct/>
              <w:topLinePunct w:val="0"/>
              <w:autoSpaceDE/>
              <w:bidi w:val="0"/>
              <w:spacing w:line="540" w:lineRule="exact"/>
              <w:jc w:val="center"/>
              <w:rPr>
                <w:rFonts w:eastAsia="仿宋_GB2312"/>
                <w:color w:val="000000"/>
                <w:kern w:val="0"/>
                <w:szCs w:val="21"/>
              </w:rPr>
            </w:pPr>
            <w:r>
              <w:rPr>
                <w:rFonts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bidi w:val="0"/>
              <w:spacing w:line="5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各镇（街道）、村（社区）</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仿宋_GB2312"/>
                <w:color w:val="000000"/>
                <w:kern w:val="0"/>
                <w:szCs w:val="21"/>
                <w:lang w:eastAsia="zh-CN"/>
              </w:rPr>
            </w:pPr>
            <w:r>
              <w:rPr>
                <w:rFonts w:eastAsia="仿宋_GB2312"/>
                <w:color w:val="000000"/>
                <w:kern w:val="0"/>
                <w:szCs w:val="21"/>
              </w:rPr>
              <w:t>项目资金</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（万元）</w:t>
            </w: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spacing w:val="-20"/>
                <w:kern w:val="0"/>
                <w:sz w:val="21"/>
                <w:szCs w:val="21"/>
              </w:rPr>
            </w:pPr>
            <w:r>
              <w:rPr>
                <w:rFonts w:eastAsia="仿宋_GB2312"/>
                <w:color w:val="000000"/>
                <w:spacing w:val="-11"/>
                <w:kern w:val="0"/>
                <w:sz w:val="21"/>
                <w:szCs w:val="21"/>
              </w:rPr>
              <w:t>年初预算数</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spacing w:val="-11"/>
                <w:kern w:val="0"/>
                <w:sz w:val="21"/>
                <w:szCs w:val="21"/>
              </w:rPr>
              <w:t>全年预算数</w:t>
            </w:r>
          </w:p>
        </w:tc>
        <w:tc>
          <w:tcPr>
            <w:tcW w:w="1134"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pacing w:val="-23"/>
                <w:sz w:val="21"/>
                <w:szCs w:val="21"/>
              </w:rPr>
              <w:t>全年执行数</w:t>
            </w:r>
          </w:p>
        </w:tc>
        <w:tc>
          <w:tcPr>
            <w:tcW w:w="828"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分值</w:t>
            </w:r>
          </w:p>
        </w:tc>
        <w:tc>
          <w:tcPr>
            <w:tcW w:w="873"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执行率</w:t>
            </w:r>
          </w:p>
        </w:tc>
        <w:tc>
          <w:tcPr>
            <w:tcW w:w="1418" w:type="dxa"/>
            <w:tcBorders>
              <w:top w:val="nil"/>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Cs w:val="21"/>
              </w:rPr>
            </w:pPr>
            <w:r>
              <w:rPr>
                <w:rFonts w:eastAsia="仿宋_GB2312"/>
                <w:szCs w:val="21"/>
              </w:rPr>
              <w:t>得分</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年度资金总额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203"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仿宋_GB2312" w:cs="Times New Roman"/>
                <w:color w:val="000000"/>
                <w:kern w:val="0"/>
                <w:sz w:val="18"/>
                <w:szCs w:val="18"/>
                <w:lang w:val="en-US" w:eastAsia="zh-CN" w:bidi="ar-SA"/>
              </w:rPr>
            </w:pPr>
            <w:r>
              <w:rPr>
                <w:rFonts w:hint="eastAsia" w:ascii="仿宋" w:hAnsi="仿宋" w:eastAsia="仿宋" w:cs="仿宋"/>
                <w:sz w:val="24"/>
                <w:szCs w:val="24"/>
                <w:lang w:val="en-US" w:eastAsia="zh-CN"/>
              </w:rPr>
              <w:t>2807.1</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仿宋_GB2312" w:cs="Times New Roman"/>
                <w:color w:val="000000"/>
                <w:kern w:val="0"/>
                <w:sz w:val="18"/>
                <w:szCs w:val="18"/>
                <w:lang w:val="en-US" w:eastAsia="zh-CN" w:bidi="ar-SA"/>
              </w:rPr>
            </w:pPr>
            <w:r>
              <w:rPr>
                <w:rFonts w:hint="eastAsia" w:ascii="仿宋" w:hAnsi="仿宋" w:eastAsia="仿宋" w:cs="仿宋"/>
                <w:sz w:val="24"/>
                <w:szCs w:val="24"/>
                <w:lang w:val="en-US" w:eastAsia="zh-CN"/>
              </w:rPr>
              <w:t>2807.1</w:t>
            </w:r>
          </w:p>
        </w:tc>
        <w:tc>
          <w:tcPr>
            <w:tcW w:w="82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10</w:t>
            </w:r>
          </w:p>
        </w:tc>
        <w:tc>
          <w:tcPr>
            <w:tcW w:w="87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其中：当年财政拨款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203"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仿宋_GB2312" w:cs="Times New Roman"/>
                <w:color w:val="000000"/>
                <w:kern w:val="0"/>
                <w:sz w:val="18"/>
                <w:szCs w:val="18"/>
                <w:lang w:val="en-US" w:eastAsia="zh-CN" w:bidi="ar-SA"/>
              </w:rPr>
            </w:pPr>
            <w:r>
              <w:rPr>
                <w:rFonts w:hint="eastAsia" w:ascii="仿宋" w:hAnsi="仿宋" w:eastAsia="仿宋" w:cs="仿宋"/>
                <w:sz w:val="24"/>
                <w:szCs w:val="24"/>
                <w:lang w:val="en-US" w:eastAsia="zh-CN"/>
              </w:rPr>
              <w:t>2807.1</w:t>
            </w:r>
          </w:p>
        </w:tc>
        <w:tc>
          <w:tcPr>
            <w:tcW w:w="1134" w:type="dxa"/>
            <w:tcBorders>
              <w:top w:val="nil"/>
              <w:left w:val="nil"/>
              <w:bottom w:val="single" w:color="auto" w:sz="4" w:space="0"/>
              <w:right w:val="single" w:color="auto" w:sz="4" w:space="0"/>
            </w:tcBorders>
            <w:noWrap w:val="0"/>
            <w:vAlign w:val="center"/>
          </w:tcPr>
          <w:p>
            <w:pPr>
              <w:widowControl/>
              <w:jc w:val="center"/>
              <w:rPr>
                <w:rFonts w:hint="default" w:ascii="Calibri" w:hAnsi="Calibri" w:eastAsia="仿宋_GB2312" w:cs="Times New Roman"/>
                <w:color w:val="000000"/>
                <w:kern w:val="0"/>
                <w:sz w:val="18"/>
                <w:szCs w:val="18"/>
                <w:lang w:val="en-US" w:eastAsia="zh-CN" w:bidi="ar-SA"/>
              </w:rPr>
            </w:pPr>
            <w:r>
              <w:rPr>
                <w:rFonts w:hint="eastAsia" w:ascii="仿宋" w:hAnsi="仿宋" w:eastAsia="仿宋" w:cs="仿宋"/>
                <w:sz w:val="24"/>
                <w:szCs w:val="24"/>
                <w:lang w:val="en-US" w:eastAsia="zh-CN"/>
              </w:rPr>
              <w:t>2807.1</w:t>
            </w:r>
          </w:p>
        </w:tc>
        <w:tc>
          <w:tcPr>
            <w:tcW w:w="828" w:type="dxa"/>
            <w:tcBorders>
              <w:top w:val="nil"/>
              <w:left w:val="nil"/>
              <w:bottom w:val="single" w:color="auto" w:sz="4" w:space="0"/>
              <w:right w:val="single" w:color="auto" w:sz="4" w:space="0"/>
            </w:tcBorders>
            <w:noWrap w:val="0"/>
            <w:vAlign w:val="center"/>
          </w:tcPr>
          <w:p>
            <w:pPr>
              <w:widowControl/>
              <w:jc w:val="left"/>
              <w:rPr>
                <w:rFonts w:ascii="Calibri" w:hAnsi="Calibri" w:eastAsia="仿宋_GB2312" w:cs="Times New Roman"/>
                <w:color w:val="000000"/>
                <w:kern w:val="0"/>
                <w:sz w:val="21"/>
                <w:szCs w:val="21"/>
                <w:lang w:val="en-US" w:eastAsia="zh-CN" w:bidi="ar-SA"/>
              </w:rPr>
            </w:pPr>
          </w:p>
        </w:tc>
        <w:tc>
          <w:tcPr>
            <w:tcW w:w="873" w:type="dxa"/>
            <w:tcBorders>
              <w:top w:val="nil"/>
              <w:left w:val="nil"/>
              <w:bottom w:val="single" w:color="auto" w:sz="4" w:space="0"/>
              <w:right w:val="single" w:color="auto" w:sz="4" w:space="0"/>
            </w:tcBorders>
            <w:noWrap w:val="0"/>
            <w:vAlign w:val="center"/>
          </w:tcPr>
          <w:p>
            <w:pPr>
              <w:widowControl/>
              <w:jc w:val="left"/>
              <w:rPr>
                <w:rFonts w:hint="default" w:ascii="Calibri" w:hAnsi="Calibri" w:eastAsia="仿宋_GB2312" w:cs="Times New Roman"/>
                <w:color w:val="000000"/>
                <w:kern w:val="0"/>
                <w:sz w:val="21"/>
                <w:szCs w:val="21"/>
                <w:lang w:val="en-US" w:eastAsia="zh-CN" w:bidi="ar-SA"/>
              </w:rPr>
            </w:pPr>
          </w:p>
        </w:tc>
        <w:tc>
          <w:tcPr>
            <w:tcW w:w="1418" w:type="dxa"/>
            <w:tcBorders>
              <w:top w:val="nil"/>
              <w:left w:val="nil"/>
              <w:bottom w:val="single" w:color="auto" w:sz="4" w:space="0"/>
              <w:right w:val="single" w:color="auto" w:sz="4" w:space="0"/>
            </w:tcBorders>
            <w:noWrap w:val="0"/>
            <w:vAlign w:val="center"/>
          </w:tcPr>
          <w:p>
            <w:pPr>
              <w:widowControl/>
              <w:jc w:val="left"/>
              <w:rPr>
                <w:rFonts w:hint="default" w:ascii="Calibri" w:hAnsi="Calibri" w:eastAsia="仿宋_GB2312" w:cs="Times New Roman"/>
                <w:color w:val="000000"/>
                <w:kern w:val="0"/>
                <w:sz w:val="21"/>
                <w:szCs w:val="21"/>
                <w:lang w:val="en-US" w:eastAsia="zh-CN" w:bidi="ar-SA"/>
              </w:rPr>
            </w:pP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30" w:firstLineChars="300"/>
              <w:jc w:val="left"/>
              <w:textAlignment w:val="auto"/>
              <w:rPr>
                <w:rFonts w:eastAsia="仿宋_GB2312"/>
                <w:color w:val="000000"/>
                <w:kern w:val="0"/>
                <w:szCs w:val="21"/>
              </w:rPr>
            </w:pPr>
            <w:r>
              <w:rPr>
                <w:rFonts w:eastAsia="仿宋_GB2312"/>
                <w:color w:val="000000"/>
                <w:kern w:val="0"/>
                <w:szCs w:val="21"/>
              </w:rPr>
              <w:t>上年结转资金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220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30" w:firstLineChars="300"/>
              <w:jc w:val="left"/>
              <w:textAlignment w:val="auto"/>
              <w:rPr>
                <w:rFonts w:eastAsia="仿宋_GB2312"/>
                <w:color w:val="000000"/>
                <w:kern w:val="0"/>
                <w:szCs w:val="21"/>
              </w:rPr>
            </w:pPr>
            <w:r>
              <w:rPr>
                <w:rFonts w:eastAsia="仿宋_GB2312"/>
                <w:color w:val="000000"/>
                <w:kern w:val="0"/>
                <w:szCs w:val="21"/>
              </w:rPr>
              <w:t>其他资金</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年度总</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体目标</w:t>
            </w:r>
          </w:p>
        </w:tc>
        <w:tc>
          <w:tcPr>
            <w:tcW w:w="4611"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实际完成情况　</w:t>
            </w:r>
          </w:p>
        </w:tc>
      </w:tr>
      <w:tr>
        <w:tblPrEx>
          <w:tblCellMar>
            <w:top w:w="0" w:type="dxa"/>
            <w:left w:w="108" w:type="dxa"/>
            <w:bottom w:w="0" w:type="dxa"/>
            <w:right w:w="108" w:type="dxa"/>
          </w:tblCellMar>
        </w:tblPrEx>
        <w:trPr>
          <w:trHeight w:val="715" w:hRule="atLeast"/>
          <w:jc w:val="center"/>
        </w:trPr>
        <w:tc>
          <w:tcPr>
            <w:tcW w:w="113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4611" w:type="dxa"/>
            <w:gridSpan w:val="4"/>
            <w:tcBorders>
              <w:top w:val="single" w:color="auto" w:sz="4" w:space="0"/>
              <w:left w:val="nil"/>
              <w:bottom w:val="single" w:color="auto" w:sz="4" w:space="0"/>
              <w:right w:val="single" w:color="000000" w:sz="4" w:space="0"/>
            </w:tcBorders>
            <w:noWrap w:val="0"/>
            <w:vAlign w:val="center"/>
          </w:tcPr>
          <w:p>
            <w:pPr>
              <w:widowControl/>
              <w:jc w:val="both"/>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val="0"/>
                <w:i w:val="0"/>
                <w:iCs w:val="0"/>
                <w:caps w:val="0"/>
                <w:color w:val="000000" w:themeColor="text1"/>
                <w:spacing w:val="0"/>
                <w:sz w:val="21"/>
                <w:szCs w:val="21"/>
                <w:shd w:val="clear" w:fill="FFFFFF"/>
                <w14:textFill>
                  <w14:solidFill>
                    <w14:schemeClr w14:val="tx1"/>
                  </w14:solidFill>
                </w14:textFill>
              </w:rPr>
              <w:t>以巩固脱贫攻坚成果、全面推进乡村振兴为目标</w:t>
            </w:r>
            <w:r>
              <w:rPr>
                <w:rFonts w:hint="eastAsia" w:ascii="仿宋" w:hAnsi="仿宋" w:eastAsia="仿宋" w:cs="仿宋"/>
                <w:b w:val="0"/>
                <w:bCs w:val="0"/>
                <w:i w:val="0"/>
                <w:iCs w:val="0"/>
                <w:caps w:val="0"/>
                <w:color w:val="000000" w:themeColor="text1"/>
                <w:spacing w:val="0"/>
                <w:sz w:val="21"/>
                <w:szCs w:val="21"/>
                <w:shd w:val="clear" w:fill="FFFFFF"/>
                <w:lang w:eastAsia="zh-CN"/>
                <w14:textFill>
                  <w14:solidFill>
                    <w14:schemeClr w14:val="tx1"/>
                  </w14:solidFill>
                </w14:textFill>
              </w:rPr>
              <w:t>，</w:t>
            </w:r>
            <w:r>
              <w:rPr>
                <w:rFonts w:hint="eastAsia" w:ascii="仿宋" w:hAnsi="仿宋" w:eastAsia="仿宋" w:cs="仿宋"/>
                <w:b w:val="0"/>
                <w:bCs w:val="0"/>
                <w:color w:val="000000" w:themeColor="text1"/>
                <w:sz w:val="21"/>
                <w:szCs w:val="21"/>
                <w:lang w:val="en-US" w:eastAsia="zh-CN"/>
                <w14:textFill>
                  <w14:solidFill>
                    <w14:schemeClr w14:val="tx1"/>
                  </w14:solidFill>
                </w14:textFill>
              </w:rPr>
              <w:t>巩固提升脱贫户脱贫成效。</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000000" w:themeColor="text1"/>
                <w:kern w:val="0"/>
                <w:sz w:val="21"/>
                <w:szCs w:val="21"/>
                <w:lang w:val="en-US" w:eastAsia="zh-CN" w:bidi="ar-SA"/>
                <w14:textFill>
                  <w14:solidFill>
                    <w14:schemeClr w14:val="tx1"/>
                  </w14:solidFill>
                </w14:textFill>
              </w:rPr>
            </w:pPr>
            <w:r>
              <w:rPr>
                <w:rFonts w:hint="eastAsia" w:ascii="仿宋" w:hAnsi="仿宋" w:eastAsia="仿宋" w:cs="仿宋"/>
                <w:b w:val="0"/>
                <w:bCs/>
                <w:color w:val="000000" w:themeColor="text1"/>
                <w:szCs w:val="21"/>
                <w:lang w:val="en-US" w:eastAsia="zh-CN"/>
                <w14:textFill>
                  <w14:solidFill>
                    <w14:schemeClr w14:val="tx1"/>
                  </w14:solidFill>
                </w14:textFill>
              </w:rPr>
              <w:t>圆满完成巩固拓展脱贫攻坚与乡村振兴有效衔接工作。</w:t>
            </w:r>
          </w:p>
        </w:tc>
      </w:tr>
      <w:tr>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一级指标</w:t>
            </w:r>
          </w:p>
        </w:tc>
        <w:tc>
          <w:tcPr>
            <w:tcW w:w="12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二级指标</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三级指标</w:t>
            </w:r>
          </w:p>
        </w:tc>
        <w:tc>
          <w:tcPr>
            <w:tcW w:w="120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指标值</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完成值</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分值</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得分</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偏差原因</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分析及</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产出</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p>
          <w:p>
            <w:pPr>
              <w:widowControl/>
              <w:jc w:val="center"/>
              <w:rPr>
                <w:rFonts w:eastAsia="仿宋_GB2312"/>
                <w:color w:val="000000"/>
                <w:kern w:val="0"/>
                <w:szCs w:val="21"/>
              </w:rPr>
            </w:pPr>
            <w:r>
              <w:rPr>
                <w:rFonts w:eastAsia="仿宋_GB2312"/>
                <w:color w:val="000000"/>
                <w:kern w:val="0"/>
                <w:szCs w:val="21"/>
              </w:rPr>
              <w:t>(50分)</w:t>
            </w:r>
          </w:p>
        </w:tc>
        <w:tc>
          <w:tcPr>
            <w:tcW w:w="121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20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任务完成率</w:t>
            </w:r>
          </w:p>
        </w:tc>
        <w:tc>
          <w:tcPr>
            <w:tcW w:w="120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20</w:t>
            </w:r>
          </w:p>
        </w:tc>
        <w:tc>
          <w:tcPr>
            <w:tcW w:w="87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20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20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合格指数</w:t>
            </w:r>
          </w:p>
        </w:tc>
        <w:tc>
          <w:tcPr>
            <w:tcW w:w="120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20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是否按时完成</w:t>
            </w:r>
          </w:p>
        </w:tc>
        <w:tc>
          <w:tcPr>
            <w:tcW w:w="120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jc w:val="left"/>
              <w:rPr>
                <w:rFonts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20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是否按绩效目标</w:t>
            </w:r>
          </w:p>
        </w:tc>
        <w:tc>
          <w:tcPr>
            <w:tcW w:w="120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restart"/>
            <w:tcBorders>
              <w:top w:val="single" w:color="auto" w:sz="4" w:space="0"/>
              <w:left w:val="nil"/>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效益</w:t>
            </w:r>
          </w:p>
          <w:p>
            <w:pPr>
              <w:widowControl/>
              <w:jc w:val="center"/>
              <w:rPr>
                <w:rFonts w:eastAsia="仿宋_GB2312"/>
                <w:color w:val="000000"/>
                <w:kern w:val="0"/>
                <w:szCs w:val="21"/>
              </w:rPr>
            </w:pPr>
            <w:r>
              <w:rPr>
                <w:rFonts w:eastAsia="仿宋_GB2312"/>
                <w:color w:val="000000"/>
                <w:kern w:val="0"/>
                <w:szCs w:val="21"/>
              </w:rPr>
              <w:t>指标</w:t>
            </w:r>
          </w:p>
          <w:p>
            <w:pPr>
              <w:widowControl/>
              <w:jc w:val="left"/>
              <w:rPr>
                <w:rFonts w:eastAsia="仿宋_GB2312"/>
                <w:color w:val="000000"/>
                <w:kern w:val="0"/>
                <w:szCs w:val="21"/>
              </w:rPr>
            </w:pPr>
          </w:p>
          <w:p>
            <w:pPr>
              <w:widowControl/>
              <w:jc w:val="left"/>
              <w:rPr>
                <w:rFonts w:eastAsia="仿宋_GB2312"/>
                <w:color w:val="000000"/>
                <w:kern w:val="0"/>
                <w:szCs w:val="21"/>
              </w:rPr>
            </w:pPr>
            <w:r>
              <w:rPr>
                <w:rFonts w:eastAsia="仿宋_GB2312"/>
                <w:color w:val="000000"/>
                <w:kern w:val="0"/>
                <w:szCs w:val="21"/>
              </w:rPr>
              <w:t>（30分）</w:t>
            </w:r>
          </w:p>
          <w:p>
            <w:pPr>
              <w:jc w:val="left"/>
              <w:rPr>
                <w:rFonts w:eastAsia="仿宋_GB2312"/>
                <w:color w:val="000000"/>
                <w:kern w:val="0"/>
                <w:szCs w:val="21"/>
              </w:rPr>
            </w:pPr>
            <w:r>
              <w:rPr>
                <w:rFonts w:eastAsia="仿宋_GB2312"/>
                <w:color w:val="000000"/>
                <w:kern w:val="0"/>
                <w:szCs w:val="21"/>
              </w:rPr>
              <w:t>　</w:t>
            </w:r>
          </w:p>
        </w:tc>
        <w:tc>
          <w:tcPr>
            <w:tcW w:w="121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0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直接间接效益</w:t>
            </w:r>
          </w:p>
        </w:tc>
        <w:tc>
          <w:tcPr>
            <w:tcW w:w="120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16"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00" w:type="dxa"/>
            <w:vMerge w:val="restart"/>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社会综合效益</w:t>
            </w:r>
          </w:p>
        </w:tc>
        <w:tc>
          <w:tcPr>
            <w:tcW w:w="120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对环境积极影响</w:t>
            </w:r>
          </w:p>
        </w:tc>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nil"/>
              <w:right w:val="single" w:color="auto" w:sz="4" w:space="0"/>
            </w:tcBorders>
            <w:noWrap w:val="0"/>
            <w:vAlign w:val="center"/>
          </w:tcPr>
          <w:p>
            <w:pPr>
              <w:jc w:val="left"/>
              <w:rPr>
                <w:rFonts w:eastAsia="仿宋_GB2312"/>
                <w:color w:val="000000"/>
                <w:kern w:val="0"/>
                <w:szCs w:val="21"/>
              </w:rPr>
            </w:pPr>
          </w:p>
        </w:tc>
        <w:tc>
          <w:tcPr>
            <w:tcW w:w="1216"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0"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134"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28" w:type="dxa"/>
            <w:vMerge w:val="continue"/>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873" w:type="dxa"/>
            <w:vMerge w:val="continue"/>
            <w:tcBorders>
              <w:top w:val="nil"/>
              <w:left w:val="nil"/>
              <w:bottom w:val="single" w:color="auto" w:sz="4" w:space="0"/>
              <w:right w:val="single" w:color="auto" w:sz="4" w:space="0"/>
            </w:tcBorders>
            <w:noWrap w:val="0"/>
            <w:vAlign w:val="center"/>
          </w:tcPr>
          <w:p>
            <w:pPr>
              <w:widowControl/>
              <w:jc w:val="center"/>
              <w:rPr>
                <w:rFonts w:eastAsia="仿宋_GB2312"/>
                <w:color w:val="000000"/>
                <w:kern w:val="0"/>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p>
        </w:tc>
        <w:tc>
          <w:tcPr>
            <w:tcW w:w="992" w:type="dxa"/>
            <w:vMerge w:val="continue"/>
            <w:tcBorders>
              <w:left w:val="single" w:color="auto" w:sz="4" w:space="0"/>
              <w:right w:val="single" w:color="auto" w:sz="4" w:space="0"/>
            </w:tcBorders>
            <w:noWrap w:val="0"/>
            <w:vAlign w:val="center"/>
          </w:tcPr>
          <w:p>
            <w:pPr>
              <w:widowControl/>
              <w:jc w:val="left"/>
              <w:rPr>
                <w:rFonts w:eastAsia="仿宋_GB2312"/>
                <w:color w:val="000000"/>
                <w:kern w:val="0"/>
                <w:szCs w:val="21"/>
              </w:rPr>
            </w:pPr>
          </w:p>
        </w:tc>
        <w:tc>
          <w:tcPr>
            <w:tcW w:w="1216" w:type="dxa"/>
            <w:vMerge w:val="restart"/>
            <w:tcBorders>
              <w:top w:val="single" w:color="auto" w:sz="4" w:space="0"/>
              <w:left w:val="single" w:color="auto" w:sz="4" w:space="0"/>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积极的持续影响</w:t>
            </w:r>
          </w:p>
        </w:tc>
        <w:tc>
          <w:tcPr>
            <w:tcW w:w="12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100%</w:t>
            </w:r>
          </w:p>
        </w:tc>
        <w:tc>
          <w:tcPr>
            <w:tcW w:w="8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8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16" w:type="dxa"/>
            <w:vMerge w:val="continue"/>
            <w:tcBorders>
              <w:left w:val="single" w:color="auto" w:sz="4" w:space="0"/>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0"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restart"/>
            <w:tcBorders>
              <w:top w:val="nil"/>
              <w:left w:val="nil"/>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16" w:type="dxa"/>
            <w:vMerge w:val="restart"/>
            <w:tcBorders>
              <w:top w:val="nil"/>
              <w:left w:val="nil"/>
              <w:right w:val="single" w:color="auto" w:sz="4" w:space="0"/>
            </w:tcBorders>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00" w:type="dxa"/>
            <w:vMerge w:val="restart"/>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群众满意度</w:t>
            </w:r>
          </w:p>
        </w:tc>
        <w:tc>
          <w:tcPr>
            <w:tcW w:w="1203" w:type="dxa"/>
            <w:vMerge w:val="restart"/>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95%以上</w:t>
            </w:r>
          </w:p>
        </w:tc>
        <w:tc>
          <w:tcPr>
            <w:tcW w:w="1134" w:type="dxa"/>
            <w:vMerge w:val="restart"/>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98%</w:t>
            </w:r>
          </w:p>
        </w:tc>
        <w:tc>
          <w:tcPr>
            <w:tcW w:w="828" w:type="dxa"/>
            <w:vMerge w:val="restart"/>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vMerge w:val="restart"/>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p>
        </w:tc>
        <w:tc>
          <w:tcPr>
            <w:tcW w:w="992"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16" w:type="dxa"/>
            <w:vMerge w:val="continue"/>
            <w:tcBorders>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0"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203"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134"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28"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873" w:type="dxa"/>
            <w:vMerge w:val="continue"/>
            <w:tcBorders>
              <w:top w:val="nil"/>
              <w:left w:val="nil"/>
              <w:bottom w:val="single" w:color="auto" w:sz="4" w:space="0"/>
              <w:right w:val="single" w:color="auto" w:sz="4" w:space="0"/>
            </w:tcBorders>
            <w:noWrap w:val="0"/>
            <w:vAlign w:val="center"/>
          </w:tcPr>
          <w:p>
            <w:pPr>
              <w:widowControl/>
              <w:jc w:val="left"/>
              <w:rPr>
                <w:rFonts w:eastAsia="仿宋_GB2312"/>
                <w:color w:val="000000"/>
                <w:kern w:val="0"/>
                <w:szCs w:val="21"/>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r>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eastAsia="仿宋_GB2312"/>
                <w:color w:val="000000"/>
                <w:kern w:val="0"/>
                <w:szCs w:val="21"/>
              </w:rPr>
            </w:pPr>
            <w:r>
              <w:rPr>
                <w:rFonts w:eastAsia="仿宋_GB2312"/>
                <w:color w:val="000000"/>
                <w:kern w:val="0"/>
                <w:szCs w:val="21"/>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eastAsia="仿宋_GB2312"/>
                <w:color w:val="000000"/>
                <w:kern w:val="0"/>
                <w:szCs w:val="21"/>
              </w:rPr>
            </w:pPr>
            <w:r>
              <w:rPr>
                <w:rFonts w:eastAsia="仿宋_GB2312"/>
                <w:color w:val="000000"/>
                <w:kern w:val="0"/>
                <w:szCs w:val="21"/>
              </w:rPr>
              <w:t>　</w:t>
            </w:r>
          </w:p>
        </w:tc>
      </w:tr>
    </w:tbl>
    <w:p>
      <w:pPr>
        <w:keepNext w:val="0"/>
        <w:keepLines w:val="0"/>
        <w:pageBreakBefore w:val="0"/>
        <w:kinsoku/>
        <w:wordWrap/>
        <w:overflowPunct/>
        <w:topLinePunct w:val="0"/>
        <w:autoSpaceDE/>
        <w:autoSpaceDN/>
        <w:bidi w:val="0"/>
        <w:adjustRightInd/>
        <w:snapToGrid/>
        <w:spacing w:line="320" w:lineRule="exact"/>
        <w:textAlignment w:val="auto"/>
        <w:rPr>
          <w:rFonts w:eastAsia="仿宋_GB2312"/>
          <w:sz w:val="24"/>
        </w:rPr>
      </w:pPr>
      <w:r>
        <w:rPr>
          <w:rFonts w:eastAsia="仿宋_GB2312"/>
          <w:sz w:val="24"/>
        </w:rPr>
        <w:t>填表人：         填报日期：           联系电话：       单位负责人签字：</w:t>
      </w:r>
    </w:p>
    <w:p>
      <w:pPr>
        <w:keepNext w:val="0"/>
        <w:keepLines w:val="0"/>
        <w:pageBreakBefore w:val="0"/>
        <w:kinsoku/>
        <w:overflowPunct/>
        <w:topLinePunct w:val="0"/>
        <w:autoSpaceDE/>
        <w:bidi w:val="0"/>
        <w:spacing w:line="540" w:lineRule="exact"/>
        <w:jc w:val="center"/>
        <w:rPr>
          <w:rFonts w:hint="eastAsia" w:eastAsia="仿宋_GB2312"/>
          <w:sz w:val="32"/>
        </w:rPr>
      </w:pPr>
      <w:r>
        <w:rPr>
          <w:rFonts w:eastAsia="黑体"/>
          <w:sz w:val="32"/>
          <w:szCs w:val="32"/>
        </w:rPr>
        <w:br w:type="page"/>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keepNext w:val="0"/>
              <w:keepLines w:val="0"/>
              <w:pageBreakBefore w:val="0"/>
              <w:kinsoku/>
              <w:overflowPunct/>
              <w:topLinePunct w:val="0"/>
              <w:autoSpaceDE/>
              <w:bidi w:val="0"/>
              <w:spacing w:line="540" w:lineRule="exact"/>
              <w:jc w:val="center"/>
              <w:rPr>
                <w:rFonts w:hint="eastAsia" w:eastAsia="仿宋_GB2312"/>
                <w:b/>
                <w:bCs/>
                <w:sz w:val="36"/>
                <w:szCs w:val="36"/>
              </w:rPr>
            </w:pPr>
            <w:r>
              <w:rPr>
                <w:rFonts w:hint="eastAsia" w:eastAsia="仿宋_GB2312"/>
                <w:b/>
                <w:bCs/>
                <w:sz w:val="36"/>
                <w:szCs w:val="36"/>
              </w:rPr>
              <w:t>五、评价报告综述</w:t>
            </w:r>
          </w:p>
          <w:p>
            <w:pPr>
              <w:keepNext w:val="0"/>
              <w:keepLines w:val="0"/>
              <w:pageBreakBefore w:val="0"/>
              <w:kinsoku/>
              <w:overflowPunct/>
              <w:topLinePunct w:val="0"/>
              <w:autoSpaceDE/>
              <w:bidi w:val="0"/>
              <w:spacing w:line="540" w:lineRule="exact"/>
              <w:ind w:firstLine="640" w:firstLineChars="200"/>
              <w:rPr>
                <w:rFonts w:hint="eastAsia" w:eastAsia="仿宋_GB2312"/>
                <w:sz w:val="32"/>
                <w:szCs w:val="32"/>
              </w:rPr>
            </w:pPr>
          </w:p>
          <w:p>
            <w:pPr>
              <w:spacing w:line="440" w:lineRule="exact"/>
              <w:ind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（一）资金投入</w:t>
            </w:r>
          </w:p>
          <w:p>
            <w:pPr>
              <w:keepNext w:val="0"/>
              <w:keepLines w:val="0"/>
              <w:pageBreakBefore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2022</w:t>
            </w:r>
            <w:r>
              <w:rPr>
                <w:rFonts w:hint="eastAsia" w:ascii="仿宋" w:hAnsi="仿宋" w:eastAsia="仿宋" w:cs="仿宋"/>
                <w:sz w:val="30"/>
                <w:szCs w:val="30"/>
              </w:rPr>
              <w:t>年中央、省、市安排财政专项扶贫资金</w:t>
            </w:r>
            <w:r>
              <w:rPr>
                <w:rFonts w:hint="eastAsia" w:ascii="仿宋" w:hAnsi="仿宋" w:eastAsia="仿宋" w:cs="仿宋"/>
                <w:sz w:val="30"/>
                <w:szCs w:val="30"/>
                <w:lang w:val="en-US" w:eastAsia="zh-CN"/>
              </w:rPr>
              <w:t>2807.1</w:t>
            </w:r>
            <w:r>
              <w:rPr>
                <w:rFonts w:hint="eastAsia" w:ascii="仿宋" w:hAnsi="仿宋" w:eastAsia="仿宋" w:cs="仿宋"/>
                <w:sz w:val="30"/>
                <w:szCs w:val="30"/>
              </w:rPr>
              <w:t>万元，其中：</w:t>
            </w:r>
            <w:r>
              <w:rPr>
                <w:rFonts w:hint="eastAsia" w:ascii="仿宋" w:hAnsi="仿宋" w:eastAsia="仿宋" w:cs="仿宋"/>
                <w:sz w:val="30"/>
                <w:szCs w:val="30"/>
                <w:lang w:val="en-US" w:eastAsia="zh-CN"/>
              </w:rPr>
              <w:t>其中</w:t>
            </w:r>
            <w:r>
              <w:rPr>
                <w:rFonts w:hint="eastAsia" w:ascii="仿宋" w:hAnsi="仿宋" w:eastAsia="仿宋" w:cs="仿宋"/>
                <w:sz w:val="30"/>
                <w:szCs w:val="30"/>
                <w:lang w:eastAsia="zh-CN"/>
              </w:rPr>
              <w:t>中央资金</w:t>
            </w:r>
            <w:r>
              <w:rPr>
                <w:rFonts w:hint="eastAsia" w:ascii="仿宋" w:hAnsi="仿宋" w:eastAsia="仿宋" w:cs="仿宋"/>
                <w:sz w:val="30"/>
                <w:szCs w:val="30"/>
                <w:lang w:val="en-US" w:eastAsia="zh-CN"/>
              </w:rPr>
              <w:t>731万元，省级</w:t>
            </w:r>
            <w:r>
              <w:rPr>
                <w:rFonts w:hint="eastAsia" w:ascii="仿宋" w:hAnsi="仿宋" w:eastAsia="仿宋" w:cs="仿宋"/>
                <w:sz w:val="30"/>
                <w:szCs w:val="30"/>
                <w:lang w:eastAsia="zh-CN"/>
              </w:rPr>
              <w:t>资金</w:t>
            </w:r>
            <w:r>
              <w:rPr>
                <w:rFonts w:hint="eastAsia" w:ascii="仿宋" w:hAnsi="仿宋" w:eastAsia="仿宋" w:cs="仿宋"/>
                <w:sz w:val="30"/>
                <w:szCs w:val="30"/>
                <w:lang w:val="en-US" w:eastAsia="zh-CN"/>
              </w:rPr>
              <w:t>1354万元，市级</w:t>
            </w:r>
            <w:r>
              <w:rPr>
                <w:rFonts w:hint="eastAsia" w:ascii="仿宋" w:hAnsi="仿宋" w:eastAsia="仿宋" w:cs="仿宋"/>
                <w:sz w:val="30"/>
                <w:szCs w:val="30"/>
                <w:lang w:eastAsia="zh-CN"/>
              </w:rPr>
              <w:t>资金</w:t>
            </w:r>
            <w:r>
              <w:rPr>
                <w:rFonts w:hint="eastAsia" w:ascii="仿宋" w:hAnsi="仿宋" w:eastAsia="仿宋" w:cs="仿宋"/>
                <w:sz w:val="30"/>
                <w:szCs w:val="30"/>
                <w:lang w:val="en-US" w:eastAsia="zh-CN"/>
              </w:rPr>
              <w:t>42.1万元，区级</w:t>
            </w:r>
            <w:r>
              <w:rPr>
                <w:rFonts w:hint="eastAsia" w:ascii="仿宋" w:hAnsi="仿宋" w:eastAsia="仿宋" w:cs="仿宋"/>
                <w:sz w:val="30"/>
                <w:szCs w:val="30"/>
                <w:lang w:eastAsia="zh-CN"/>
              </w:rPr>
              <w:t>资金</w:t>
            </w:r>
            <w:r>
              <w:rPr>
                <w:rFonts w:hint="eastAsia" w:ascii="仿宋" w:hAnsi="仿宋" w:eastAsia="仿宋" w:cs="仿宋"/>
                <w:sz w:val="30"/>
                <w:szCs w:val="30"/>
                <w:lang w:val="en-US" w:eastAsia="zh-CN"/>
              </w:rPr>
              <w:t>680万元</w:t>
            </w:r>
            <w:r>
              <w:rPr>
                <w:rFonts w:hint="eastAsia" w:ascii="仿宋" w:hAnsi="仿宋" w:eastAsia="仿宋" w:cs="仿宋"/>
                <w:sz w:val="30"/>
                <w:szCs w:val="30"/>
                <w:lang w:eastAsia="zh-CN"/>
              </w:rPr>
              <w:t>。</w:t>
            </w:r>
          </w:p>
          <w:p>
            <w:pPr>
              <w:keepNext w:val="0"/>
              <w:keepLines w:val="0"/>
              <w:pageBreakBefore w:val="0"/>
              <w:numPr>
                <w:ilvl w:val="0"/>
                <w:numId w:val="1"/>
              </w:numPr>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资金</w:t>
            </w:r>
            <w:r>
              <w:rPr>
                <w:rFonts w:hint="eastAsia" w:ascii="仿宋" w:hAnsi="仿宋" w:eastAsia="仿宋" w:cs="仿宋"/>
                <w:b/>
                <w:bCs/>
                <w:sz w:val="30"/>
                <w:szCs w:val="30"/>
                <w:lang w:val="en-US" w:eastAsia="zh-CN"/>
              </w:rPr>
              <w:t>下达</w:t>
            </w:r>
          </w:p>
          <w:p>
            <w:pPr>
              <w:keepNext w:val="0"/>
              <w:keepLines w:val="0"/>
              <w:pageBreakBefore w:val="0"/>
              <w:kinsoku/>
              <w:wordWrap/>
              <w:overflowPunct/>
              <w:topLinePunct w:val="0"/>
              <w:autoSpaceDE/>
              <w:autoSpaceDN/>
              <w:bidi w:val="0"/>
              <w:adjustRightInd/>
              <w:snapToGrid/>
              <w:spacing w:line="44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rPr>
              <w:t>1、资金下达</w:t>
            </w:r>
            <w:r>
              <w:rPr>
                <w:rFonts w:hint="eastAsia" w:ascii="仿宋" w:hAnsi="仿宋" w:eastAsia="仿宋" w:cs="仿宋"/>
                <w:sz w:val="30"/>
                <w:szCs w:val="30"/>
                <w:lang w:val="en-US" w:eastAsia="zh-CN"/>
              </w:rPr>
              <w:t>情况</w:t>
            </w:r>
            <w:r>
              <w:rPr>
                <w:rFonts w:hint="eastAsia" w:ascii="仿宋" w:hAnsi="仿宋" w:eastAsia="仿宋" w:cs="仿宋"/>
                <w:sz w:val="30"/>
                <w:szCs w:val="30"/>
              </w:rPr>
              <w:t>：</w:t>
            </w:r>
            <w:r>
              <w:rPr>
                <w:rFonts w:hint="eastAsia" w:ascii="仿宋" w:hAnsi="仿宋" w:eastAsia="仿宋" w:cs="仿宋"/>
                <w:sz w:val="30"/>
                <w:szCs w:val="30"/>
                <w:lang w:val="en-US" w:eastAsia="zh-CN"/>
              </w:rPr>
              <w:t>2022</w:t>
            </w:r>
            <w:r>
              <w:rPr>
                <w:rFonts w:hint="eastAsia" w:ascii="仿宋" w:hAnsi="仿宋" w:eastAsia="仿宋" w:cs="仿宋"/>
                <w:sz w:val="30"/>
                <w:szCs w:val="30"/>
              </w:rPr>
              <w:t>年共收到上级财政专项扶贫资金</w:t>
            </w:r>
            <w:r>
              <w:rPr>
                <w:rFonts w:hint="eastAsia" w:ascii="仿宋" w:hAnsi="仿宋" w:eastAsia="仿宋" w:cs="仿宋"/>
                <w:sz w:val="30"/>
                <w:szCs w:val="30"/>
                <w:lang w:val="en-US" w:eastAsia="zh-CN"/>
              </w:rPr>
              <w:t>2807.1</w:t>
            </w:r>
            <w:r>
              <w:rPr>
                <w:rFonts w:hint="eastAsia" w:ascii="仿宋" w:hAnsi="仿宋" w:eastAsia="仿宋" w:cs="仿宋"/>
                <w:sz w:val="30"/>
                <w:szCs w:val="30"/>
              </w:rPr>
              <w:t>万元，分别在30日内</w:t>
            </w:r>
            <w:r>
              <w:rPr>
                <w:rFonts w:hint="eastAsia" w:ascii="仿宋" w:hAnsi="仿宋" w:eastAsia="仿宋" w:cs="仿宋"/>
                <w:sz w:val="30"/>
                <w:szCs w:val="30"/>
                <w:lang w:val="en-US" w:eastAsia="zh-CN"/>
              </w:rPr>
              <w:t>与预算完成资金拨付手续，并会同乡村振兴事务中心拟定分配计划，报区乡村振兴领导小组审定后及时拨付相应资金，实行资金归口管理。</w:t>
            </w:r>
          </w:p>
          <w:p>
            <w:pPr>
              <w:keepNext w:val="0"/>
              <w:keepLines w:val="0"/>
              <w:pageBreakBefore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补助</w:t>
            </w:r>
            <w:r>
              <w:rPr>
                <w:rFonts w:hint="eastAsia" w:ascii="仿宋" w:hAnsi="仿宋" w:eastAsia="仿宋" w:cs="仿宋"/>
                <w:sz w:val="30"/>
                <w:szCs w:val="30"/>
              </w:rPr>
              <w:t>到户资金发放情况：按照我区</w:t>
            </w:r>
            <w:r>
              <w:rPr>
                <w:rFonts w:hint="eastAsia" w:ascii="仿宋" w:hAnsi="仿宋" w:eastAsia="仿宋" w:cs="仿宋"/>
                <w:sz w:val="30"/>
                <w:szCs w:val="30"/>
                <w:lang w:eastAsia="zh-CN"/>
              </w:rPr>
              <w:t>乡村振兴</w:t>
            </w:r>
            <w:r>
              <w:rPr>
                <w:rFonts w:hint="eastAsia" w:ascii="仿宋" w:hAnsi="仿宋" w:eastAsia="仿宋" w:cs="仿宋"/>
                <w:sz w:val="30"/>
                <w:szCs w:val="30"/>
              </w:rPr>
              <w:t>资金分配计划，</w:t>
            </w:r>
            <w:r>
              <w:rPr>
                <w:rFonts w:hint="eastAsia" w:ascii="仿宋" w:hAnsi="仿宋" w:eastAsia="仿宋" w:cs="仿宋"/>
                <w:sz w:val="30"/>
                <w:szCs w:val="30"/>
                <w:lang w:val="en-US" w:eastAsia="zh-CN"/>
              </w:rPr>
              <w:t>2022</w:t>
            </w:r>
            <w:r>
              <w:rPr>
                <w:rFonts w:hint="eastAsia" w:ascii="仿宋" w:hAnsi="仿宋" w:eastAsia="仿宋" w:cs="仿宋"/>
                <w:sz w:val="30"/>
                <w:szCs w:val="30"/>
              </w:rPr>
              <w:t>年</w:t>
            </w:r>
            <w:r>
              <w:rPr>
                <w:rFonts w:hint="eastAsia" w:ascii="仿宋" w:hAnsi="仿宋" w:eastAsia="仿宋" w:cs="仿宋"/>
                <w:sz w:val="30"/>
                <w:szCs w:val="30"/>
                <w:lang w:val="en-US" w:eastAsia="zh-CN"/>
              </w:rPr>
              <w:t>补助</w:t>
            </w:r>
            <w:r>
              <w:rPr>
                <w:rFonts w:hint="eastAsia" w:ascii="仿宋" w:hAnsi="仿宋" w:eastAsia="仿宋" w:cs="仿宋"/>
                <w:sz w:val="30"/>
                <w:szCs w:val="30"/>
              </w:rPr>
              <w:t>到户的扶贫资金</w:t>
            </w:r>
            <w:r>
              <w:rPr>
                <w:rFonts w:hint="eastAsia" w:ascii="仿宋" w:hAnsi="仿宋" w:eastAsia="仿宋" w:cs="仿宋"/>
                <w:sz w:val="30"/>
                <w:szCs w:val="30"/>
                <w:lang w:val="en-US" w:eastAsia="zh-CN"/>
              </w:rPr>
              <w:t>共</w:t>
            </w:r>
            <w:r>
              <w:rPr>
                <w:rFonts w:hint="eastAsia" w:ascii="仿宋" w:hAnsi="仿宋" w:eastAsia="仿宋" w:cs="仿宋"/>
                <w:sz w:val="30"/>
                <w:szCs w:val="30"/>
              </w:rPr>
              <w:t>发放</w:t>
            </w:r>
            <w:r>
              <w:rPr>
                <w:rFonts w:hint="eastAsia" w:ascii="仿宋" w:hAnsi="仿宋" w:eastAsia="仿宋" w:cs="仿宋"/>
                <w:sz w:val="30"/>
                <w:szCs w:val="30"/>
                <w:lang w:val="en-US" w:eastAsia="zh-CN"/>
              </w:rPr>
              <w:t>40.539443</w:t>
            </w:r>
            <w:r>
              <w:rPr>
                <w:rFonts w:hint="eastAsia" w:ascii="仿宋" w:hAnsi="仿宋" w:eastAsia="仿宋" w:cs="仿宋"/>
                <w:sz w:val="30"/>
                <w:szCs w:val="30"/>
              </w:rPr>
              <w:t>万元，</w:t>
            </w:r>
            <w:r>
              <w:rPr>
                <w:rFonts w:hint="eastAsia" w:ascii="仿宋" w:hAnsi="仿宋" w:eastAsia="仿宋" w:cs="仿宋"/>
                <w:sz w:val="30"/>
                <w:szCs w:val="30"/>
                <w:lang w:val="en-US" w:eastAsia="zh-CN"/>
              </w:rPr>
              <w:t>其中小额信贷贴息114人4.689443万元、雨露计划239人35.85万元，</w:t>
            </w:r>
            <w:r>
              <w:rPr>
                <w:rFonts w:hint="eastAsia" w:ascii="仿宋" w:hAnsi="仿宋" w:eastAsia="仿宋" w:cs="仿宋"/>
                <w:sz w:val="30"/>
                <w:szCs w:val="30"/>
              </w:rPr>
              <w:t>均拨付财政涉农信息中心，通过“</w:t>
            </w:r>
            <w:r>
              <w:rPr>
                <w:rFonts w:hint="eastAsia" w:ascii="仿宋" w:hAnsi="仿宋" w:eastAsia="仿宋" w:cs="仿宋"/>
                <w:sz w:val="30"/>
                <w:szCs w:val="30"/>
                <w:lang w:val="en-US" w:eastAsia="zh-CN"/>
              </w:rPr>
              <w:t>扶贫明白卡</w:t>
            </w:r>
            <w:r>
              <w:rPr>
                <w:rFonts w:hint="eastAsia" w:ascii="仿宋" w:hAnsi="仿宋" w:eastAsia="仿宋" w:cs="仿宋"/>
                <w:sz w:val="30"/>
                <w:szCs w:val="30"/>
              </w:rPr>
              <w:t>”</w:t>
            </w:r>
            <w:r>
              <w:rPr>
                <w:rFonts w:hint="eastAsia" w:ascii="仿宋" w:hAnsi="仿宋" w:eastAsia="仿宋" w:cs="仿宋"/>
                <w:sz w:val="30"/>
                <w:szCs w:val="30"/>
                <w:lang w:eastAsia="zh-CN"/>
              </w:rPr>
              <w:t>一卡通</w:t>
            </w:r>
            <w:r>
              <w:rPr>
                <w:rFonts w:hint="eastAsia" w:ascii="仿宋" w:hAnsi="仿宋" w:eastAsia="仿宋" w:cs="仿宋"/>
                <w:sz w:val="30"/>
                <w:szCs w:val="30"/>
              </w:rPr>
              <w:t>打卡发放。</w:t>
            </w:r>
          </w:p>
          <w:p>
            <w:pPr>
              <w:keepNext w:val="0"/>
              <w:keepLines w:val="0"/>
              <w:pageBreakBefore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区乡村振兴事务中心</w:t>
            </w:r>
            <w:r>
              <w:rPr>
                <w:rFonts w:hint="eastAsia" w:ascii="仿宋" w:hAnsi="仿宋" w:eastAsia="仿宋" w:cs="仿宋"/>
                <w:sz w:val="30"/>
                <w:szCs w:val="30"/>
              </w:rPr>
              <w:t>严格按照资金的时间效率，在规定时限内完成资金分配的请示和批复，并在资金管理方面做到以下两点：一是严格按照《岳阳市云溪区财政专项扶贫资金管理办法》，建立了规范的资金拨付使用台账，资金去向一目了然。二是按照村级事务“四议两公开”、《关于推广小型农村公共基础设施“四自两会三公开”监管模式的指导意见》湘政办发【2014】33号等相关政策要求，会同财政局，结合项目管理要求和我区实际，制订了扶贫项目报账程序12条，实行所有扶贫项目资金报账制。明确除了在村实施的小型公共基础设施项目经村民委员会讨论决定可以不实行招、投标的以外，属于政府采购和招投标管理范围的，按照政府采购和招投标制度执行。</w:t>
            </w:r>
          </w:p>
          <w:p>
            <w:pPr>
              <w:keepNext w:val="0"/>
              <w:keepLines w:val="0"/>
              <w:pageBreakBefore w:val="0"/>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（三）资金监管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30"/>
              <w:jc w:val="left"/>
              <w:textAlignment w:val="auto"/>
              <w:rPr>
                <w:rFonts w:hint="eastAsia" w:ascii="仿宋" w:hAnsi="仿宋" w:eastAsia="仿宋" w:cs="仿宋"/>
                <w:sz w:val="30"/>
                <w:szCs w:val="30"/>
              </w:rPr>
            </w:pPr>
            <w:r>
              <w:rPr>
                <w:rFonts w:hint="eastAsia" w:ascii="仿宋" w:hAnsi="仿宋" w:eastAsia="仿宋" w:cs="仿宋"/>
                <w:sz w:val="30"/>
                <w:szCs w:val="30"/>
              </w:rPr>
              <w:t>1、信息公开和公告公示制度建设和执行：</w:t>
            </w:r>
            <w:r>
              <w:rPr>
                <w:rFonts w:hint="eastAsia" w:ascii="仿宋" w:hAnsi="仿宋" w:eastAsia="仿宋" w:cs="仿宋"/>
                <w:sz w:val="30"/>
                <w:szCs w:val="30"/>
                <w:lang w:val="en-US" w:eastAsia="zh-CN"/>
              </w:rPr>
              <w:t>全面推行信息公开和公告公示制度，</w:t>
            </w:r>
            <w:r>
              <w:rPr>
                <w:rFonts w:hint="eastAsia" w:ascii="仿宋" w:hAnsi="仿宋" w:eastAsia="仿宋" w:cs="仿宋"/>
                <w:sz w:val="30"/>
                <w:szCs w:val="30"/>
              </w:rPr>
              <w:t>制定了《岳阳市云溪区</w:t>
            </w:r>
            <w:r>
              <w:rPr>
                <w:rFonts w:hint="eastAsia" w:ascii="仿宋" w:hAnsi="仿宋" w:eastAsia="仿宋" w:cs="仿宋"/>
                <w:sz w:val="30"/>
                <w:szCs w:val="30"/>
                <w:lang w:eastAsia="zh-CN"/>
              </w:rPr>
              <w:t>乡村振兴衔接</w:t>
            </w:r>
            <w:r>
              <w:rPr>
                <w:rFonts w:hint="eastAsia" w:ascii="仿宋" w:hAnsi="仿宋" w:eastAsia="仿宋" w:cs="仿宋"/>
                <w:sz w:val="30"/>
                <w:szCs w:val="30"/>
                <w:lang w:val="en-US" w:eastAsia="zh-CN"/>
              </w:rPr>
              <w:t>资金</w:t>
            </w:r>
            <w:r>
              <w:rPr>
                <w:rFonts w:hint="eastAsia" w:ascii="仿宋" w:hAnsi="仿宋" w:eastAsia="仿宋" w:cs="仿宋"/>
                <w:sz w:val="30"/>
                <w:szCs w:val="30"/>
              </w:rPr>
              <w:t>项目公告公示制度》</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2022年财政专项资金安排的资金和项目共涉及所有建档立卡脱贫户和5个脱贫村，均实行区、村两级公示：</w:t>
            </w:r>
            <w:r>
              <w:rPr>
                <w:rFonts w:hint="eastAsia" w:ascii="仿宋" w:hAnsi="仿宋" w:eastAsia="仿宋" w:cs="仿宋"/>
                <w:sz w:val="30"/>
                <w:szCs w:val="30"/>
              </w:rPr>
              <w:t>对所有财政资金安排</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管理、使用</w:t>
            </w:r>
            <w:r>
              <w:rPr>
                <w:rFonts w:hint="eastAsia" w:ascii="仿宋" w:hAnsi="仿宋" w:eastAsia="仿宋" w:cs="仿宋"/>
                <w:sz w:val="30"/>
                <w:szCs w:val="30"/>
              </w:rPr>
              <w:t>均在云溪区政府门户网上进行了公示；对到村到户的资金和项目均按照资金的规模、来源、用途、受益对象、实施单位、补助标准、审批程序、实施期限及项目完成情况在所在行政村公告公示</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接受群众监督，确保资金在阳光下运行</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2、监管检查制度建设和执行：结合我区实际，重新制定了《岳阳市云溪区</w:t>
            </w:r>
            <w:r>
              <w:rPr>
                <w:rFonts w:hint="eastAsia" w:ascii="仿宋" w:hAnsi="仿宋" w:eastAsia="仿宋" w:cs="仿宋"/>
                <w:sz w:val="30"/>
                <w:szCs w:val="30"/>
                <w:lang w:eastAsia="zh-CN"/>
              </w:rPr>
              <w:t>财政衔接推进乡村振兴专项资金</w:t>
            </w:r>
            <w:r>
              <w:rPr>
                <w:rFonts w:hint="eastAsia" w:ascii="仿宋" w:hAnsi="仿宋" w:eastAsia="仿宋" w:cs="仿宋"/>
                <w:sz w:val="30"/>
                <w:szCs w:val="30"/>
              </w:rPr>
              <w:t>管理办法》。</w:t>
            </w:r>
            <w:r>
              <w:rPr>
                <w:rFonts w:hint="eastAsia" w:ascii="仿宋" w:hAnsi="仿宋" w:eastAsia="仿宋" w:cs="仿宋"/>
                <w:sz w:val="30"/>
                <w:szCs w:val="30"/>
                <w:lang w:val="en-US" w:eastAsia="zh-CN"/>
              </w:rPr>
              <w:t>在日常监督检查的基础上，组织相关部门对扶贫资金开展了二次全方位检查，针对检查中发现的问题，</w:t>
            </w:r>
            <w:r>
              <w:rPr>
                <w:rFonts w:hint="eastAsia" w:ascii="仿宋" w:hAnsi="仿宋" w:eastAsia="仿宋" w:cs="仿宋"/>
                <w:sz w:val="30"/>
                <w:szCs w:val="30"/>
              </w:rPr>
              <w:t>列出问题清单，督促项目单位及时整改，确保资金安全有效，发挥资金最大效益。</w:t>
            </w:r>
          </w:p>
          <w:p>
            <w:pPr>
              <w:keepNext w:val="0"/>
              <w:keepLines w:val="0"/>
              <w:pageBreakBefore w:val="0"/>
              <w:numPr>
                <w:ilvl w:val="0"/>
                <w:numId w:val="2"/>
              </w:numPr>
              <w:kinsoku/>
              <w:wordWrap/>
              <w:overflowPunct/>
              <w:topLinePunct w:val="0"/>
              <w:autoSpaceDE/>
              <w:autoSpaceDN/>
              <w:bidi w:val="0"/>
              <w:adjustRightInd/>
              <w:snapToGrid/>
              <w:spacing w:line="440" w:lineRule="exact"/>
              <w:ind w:firstLine="602" w:firstLineChars="200"/>
              <w:jc w:val="left"/>
              <w:textAlignment w:val="auto"/>
              <w:rPr>
                <w:rFonts w:hint="eastAsia" w:ascii="仿宋" w:hAnsi="仿宋" w:eastAsia="仿宋" w:cs="仿宋"/>
                <w:b/>
                <w:bCs/>
                <w:sz w:val="30"/>
                <w:szCs w:val="30"/>
              </w:rPr>
            </w:pPr>
            <w:r>
              <w:rPr>
                <w:rFonts w:hint="eastAsia" w:ascii="仿宋" w:hAnsi="仿宋" w:eastAsia="仿宋" w:cs="仿宋"/>
                <w:b/>
                <w:bCs/>
                <w:sz w:val="30"/>
                <w:szCs w:val="30"/>
              </w:rPr>
              <w:t>资金使用成效</w:t>
            </w:r>
          </w:p>
          <w:p>
            <w:pPr>
              <w:keepNext w:val="0"/>
              <w:keepLines w:val="0"/>
              <w:pageBreakBefore w:val="0"/>
              <w:numPr>
                <w:ilvl w:val="0"/>
                <w:numId w:val="3"/>
              </w:numPr>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财政专项扶贫资金支出进度、资金闲置情况：根据第三方评估结论，我区无资金闲置情况。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精准使用情况：20</w:t>
            </w:r>
            <w:r>
              <w:rPr>
                <w:rFonts w:hint="eastAsia" w:ascii="仿宋" w:hAnsi="仿宋" w:eastAsia="仿宋" w:cs="仿宋"/>
                <w:sz w:val="30"/>
                <w:szCs w:val="30"/>
                <w:lang w:val="en-US" w:eastAsia="zh-CN"/>
              </w:rPr>
              <w:t>22</w:t>
            </w:r>
            <w:r>
              <w:rPr>
                <w:rFonts w:hint="eastAsia" w:ascii="仿宋" w:hAnsi="仿宋" w:eastAsia="仿宋" w:cs="仿宋"/>
                <w:sz w:val="30"/>
                <w:szCs w:val="30"/>
              </w:rPr>
              <w:t>年拨付扶贫资金</w:t>
            </w:r>
            <w:r>
              <w:rPr>
                <w:rFonts w:hint="eastAsia" w:ascii="仿宋" w:hAnsi="仿宋" w:eastAsia="仿宋" w:cs="仿宋"/>
                <w:sz w:val="30"/>
                <w:szCs w:val="30"/>
                <w:lang w:val="en-US" w:eastAsia="zh-CN"/>
              </w:rPr>
              <w:t>2807.1</w:t>
            </w:r>
            <w:r>
              <w:rPr>
                <w:rFonts w:hint="eastAsia" w:ascii="仿宋" w:hAnsi="仿宋" w:eastAsia="仿宋" w:cs="仿宋"/>
                <w:sz w:val="30"/>
                <w:szCs w:val="30"/>
              </w:rPr>
              <w:t>万元，</w:t>
            </w:r>
            <w:r>
              <w:rPr>
                <w:rFonts w:hint="eastAsia" w:ascii="仿宋" w:hAnsi="仿宋" w:eastAsia="仿宋" w:cs="仿宋"/>
                <w:sz w:val="30"/>
                <w:szCs w:val="30"/>
                <w:lang w:val="en-US" w:eastAsia="zh-CN"/>
              </w:rPr>
              <w:t>全部</w:t>
            </w:r>
            <w:r>
              <w:rPr>
                <w:rFonts w:hint="eastAsia" w:ascii="仿宋" w:hAnsi="仿宋" w:eastAsia="仿宋" w:cs="仿宋"/>
                <w:sz w:val="30"/>
                <w:szCs w:val="30"/>
              </w:rPr>
              <w:t>投向</w:t>
            </w:r>
            <w:r>
              <w:rPr>
                <w:rFonts w:hint="eastAsia" w:ascii="仿宋" w:hAnsi="仿宋" w:eastAsia="仿宋" w:cs="仿宋"/>
                <w:sz w:val="30"/>
                <w:szCs w:val="30"/>
                <w:lang w:val="en-US" w:eastAsia="zh-CN"/>
              </w:rPr>
              <w:t>5个脱贫村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建档立卡</w:t>
            </w:r>
            <w:r>
              <w:rPr>
                <w:rFonts w:hint="eastAsia" w:ascii="仿宋" w:hAnsi="仿宋" w:eastAsia="仿宋" w:cs="仿宋"/>
                <w:sz w:val="30"/>
                <w:szCs w:val="30"/>
                <w:lang w:eastAsia="zh-CN"/>
              </w:rPr>
              <w:t>脱贫户、监测户</w:t>
            </w:r>
            <w:r>
              <w:rPr>
                <w:rFonts w:hint="eastAsia" w:ascii="仿宋" w:hAnsi="仿宋" w:eastAsia="仿宋" w:cs="仿宋"/>
                <w:sz w:val="30"/>
                <w:szCs w:val="30"/>
                <w:lang w:val="en-US" w:eastAsia="zh-CN"/>
              </w:rPr>
              <w:t>和有扶贫开发任务的村（社区）。经过努力，我区乡村振兴工作取得一定成效：光伏扶贫项目涉及5个村，全部完成项目验收和并网发电，目前已发电12.63万度；开展小额信贷扶贫，对全区所有贫困户全部进行了评级，评级率为100%；开展“扶贫特惠保”，统一为全区1184户4154贫困人口购买“扶贫特惠保”，承保率100%；全区252名贫困家庭子女全部纳入“雨露计划”培训，补助资金由财政“一卡通”打卡发放。</w:t>
            </w:r>
          </w:p>
          <w:p>
            <w:pPr>
              <w:keepNext w:val="0"/>
              <w:keepLines w:val="0"/>
              <w:pageBreakBefore w:val="0"/>
              <w:kinsoku/>
              <w:wordWrap/>
              <w:overflowPunct/>
              <w:topLinePunct w:val="0"/>
              <w:autoSpaceDE/>
              <w:autoSpaceDN/>
              <w:bidi w:val="0"/>
              <w:adjustRightInd/>
              <w:snapToGrid/>
              <w:spacing w:line="440" w:lineRule="exact"/>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4500" w:firstLineChars="15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岳阳市云溪区乡村振兴事务中心</w:t>
            </w:r>
          </w:p>
          <w:p>
            <w:pPr>
              <w:keepNext w:val="0"/>
              <w:keepLines w:val="0"/>
              <w:pageBreakBefore w:val="0"/>
              <w:widowControl w:val="0"/>
              <w:kinsoku/>
              <w:wordWrap/>
              <w:overflowPunct/>
              <w:topLinePunct w:val="0"/>
              <w:autoSpaceDE/>
              <w:autoSpaceDN/>
              <w:bidi w:val="0"/>
              <w:adjustRightInd w:val="0"/>
              <w:snapToGrid w:val="0"/>
              <w:spacing w:line="540" w:lineRule="exact"/>
              <w:ind w:firstLine="5700" w:firstLineChars="1900"/>
              <w:textAlignment w:val="auto"/>
              <w:rPr>
                <w:rFonts w:eastAsia="仿宋_GB2312"/>
                <w:sz w:val="24"/>
                <w:szCs w:val="24"/>
              </w:rPr>
            </w:pPr>
            <w:r>
              <w:rPr>
                <w:rFonts w:hint="eastAsia" w:ascii="仿宋" w:hAnsi="仿宋" w:eastAsia="仿宋" w:cs="仿宋"/>
                <w:sz w:val="30"/>
                <w:szCs w:val="30"/>
                <w:lang w:val="en-US" w:eastAsia="zh-CN"/>
              </w:rPr>
              <w:t>2023年4月28日</w:t>
            </w:r>
          </w:p>
          <w:p>
            <w:pPr>
              <w:keepNext w:val="0"/>
              <w:keepLines w:val="0"/>
              <w:pageBreakBefore w:val="0"/>
              <w:kinsoku/>
              <w:overflowPunct/>
              <w:topLinePunct w:val="0"/>
              <w:autoSpaceDE/>
              <w:bidi w:val="0"/>
              <w:spacing w:line="540" w:lineRule="exact"/>
              <w:rPr>
                <w:rFonts w:eastAsia="楷体_GB2312"/>
                <w:bCs/>
                <w:sz w:val="28"/>
                <w:szCs w:val="28"/>
              </w:rPr>
            </w:pPr>
          </w:p>
        </w:tc>
      </w:tr>
    </w:tbl>
    <w:p/>
    <w:p>
      <w:pPr>
        <w:pStyle w:val="2"/>
      </w:pPr>
    </w:p>
    <w:p>
      <w:pPr>
        <w:keepNext w:val="0"/>
        <w:keepLines w:val="0"/>
        <w:pageBreakBefore w:val="0"/>
        <w:kinsoku/>
        <w:overflowPunct/>
        <w:topLinePunct w:val="0"/>
        <w:autoSpaceDE/>
        <w:bidi w:val="0"/>
        <w:spacing w:line="540" w:lineRule="exact"/>
        <w:rPr>
          <w:rFonts w:hint="eastAsia" w:ascii="黑体" w:hAnsi="黑体" w:eastAsia="黑体"/>
          <w:sz w:val="32"/>
          <w:szCs w:val="32"/>
        </w:rPr>
      </w:pPr>
    </w:p>
    <w:p>
      <w:pPr>
        <w:keepNext w:val="0"/>
        <w:keepLines w:val="0"/>
        <w:pageBreakBefore w:val="0"/>
        <w:kinsoku/>
        <w:overflowPunct/>
        <w:topLinePunct w:val="0"/>
        <w:autoSpaceDE/>
        <w:bidi w:val="0"/>
        <w:spacing w:line="540" w:lineRule="exac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-2：</w:t>
      </w:r>
    </w:p>
    <w:p>
      <w:pPr>
        <w:keepNext w:val="0"/>
        <w:keepLines w:val="0"/>
        <w:pageBreakBefore w:val="0"/>
        <w:kinsoku/>
        <w:overflowPunct/>
        <w:topLinePunct w:val="0"/>
        <w:autoSpaceDE/>
        <w:bidi w:val="0"/>
        <w:spacing w:line="54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3"/>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40</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continue"/>
            <w:tcBorders>
              <w:left w:val="single" w:color="000000" w:sz="4" w:space="0"/>
              <w:right w:val="single" w:color="000000" w:sz="4" w:space="0"/>
            </w:tcBorders>
            <w:shd w:val="clear" w:color="auto" w:fill="auto"/>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keepNext w:val="0"/>
              <w:keepLines w:val="0"/>
              <w:pageBreakBefore w:val="0"/>
              <w:widowControl/>
              <w:kinsoku/>
              <w:wordWrap/>
              <w:overflowPunct/>
              <w:topLinePunct w:val="0"/>
              <w:autoSpaceDE/>
              <w:autoSpaceDN/>
              <w:bidi w:val="0"/>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bookmarkStart w:id="0" w:name="_GoBack"/>
            <w:bookmarkEnd w:id="0"/>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项</w:t>
            </w:r>
          </w:p>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目</w:t>
            </w:r>
          </w:p>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绩</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w:t>
            </w:r>
          </w:p>
        </w:tc>
        <w:tc>
          <w:tcPr>
            <w:tcW w:w="540" w:type="dxa"/>
            <w:vMerge w:val="restart"/>
            <w:tcBorders>
              <w:top w:val="single" w:color="auto" w:sz="4" w:space="0"/>
              <w:left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环境</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keepNext w:val="0"/>
              <w:keepLines w:val="0"/>
              <w:pageBreakBefore w:val="0"/>
              <w:widowControl/>
              <w:kinsoku/>
              <w:wordWrap/>
              <w:overflowPunct/>
              <w:topLinePunct w:val="0"/>
              <w:autoSpaceDE/>
              <w:autoSpaceDN/>
              <w:bidi w:val="0"/>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noWrap w:val="0"/>
            <w:vAlign w:val="center"/>
          </w:tcPr>
          <w:p>
            <w:pPr>
              <w:keepNext w:val="0"/>
              <w:keepLines w:val="0"/>
              <w:pageBreakBefore w:val="0"/>
              <w:widowControl/>
              <w:kinsoku/>
              <w:wordWrap/>
              <w:overflowPunct/>
              <w:topLinePunct w:val="0"/>
              <w:autoSpaceDE/>
              <w:autoSpaceDN/>
              <w:bidi w:val="0"/>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exact"/>
              <w:jc w:val="left"/>
              <w:rPr>
                <w:rFonts w:ascii="宋体" w:hAnsi="宋体" w:cs="宋体"/>
                <w:b/>
                <w:bCs/>
                <w:kern w:val="0"/>
                <w:sz w:val="24"/>
              </w:rPr>
            </w:pPr>
          </w:p>
        </w:tc>
      </w:tr>
    </w:tbl>
    <w:p>
      <w:pPr>
        <w:keepNext w:val="0"/>
        <w:keepLines w:val="0"/>
        <w:pageBreakBefore w:val="0"/>
        <w:kinsoku/>
        <w:wordWrap/>
        <w:overflowPunct/>
        <w:topLinePunct w:val="0"/>
        <w:autoSpaceDE/>
        <w:autoSpaceDN/>
        <w:bidi w:val="0"/>
        <w:adjustRightInd w:val="0"/>
        <w:snapToGrid w:val="0"/>
        <w:spacing w:line="240" w:lineRule="exact"/>
        <w:contextualSpacing/>
        <w:rPr>
          <w:rFonts w:hint="eastAsia" w:ascii="仿宋_GB2312" w:eastAsia="仿宋_GB2312"/>
        </w:rPr>
      </w:pPr>
    </w:p>
    <w:p>
      <w:pPr>
        <w:keepNext w:val="0"/>
        <w:keepLines w:val="0"/>
        <w:pageBreakBefore w:val="0"/>
        <w:kinsoku/>
        <w:wordWrap/>
        <w:overflowPunct/>
        <w:topLinePunct w:val="0"/>
        <w:autoSpaceDE/>
        <w:autoSpaceDN/>
        <w:bidi w:val="0"/>
        <w:adjustRightInd w:val="0"/>
        <w:snapToGrid w:val="0"/>
        <w:spacing w:line="240" w:lineRule="exact"/>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备注：部门（单位）根据项目实际，在《项目支出绩效评价指标体系（参考样表）》上进一步完善、量化、细化个性指标，形成本项目的指标体系。</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96D9D"/>
    <w:multiLevelType w:val="singleLevel"/>
    <w:tmpl w:val="A0496D9D"/>
    <w:lvl w:ilvl="0" w:tentative="0">
      <w:start w:val="1"/>
      <w:numFmt w:val="decimal"/>
      <w:suff w:val="nothing"/>
      <w:lvlText w:val="%1、"/>
      <w:lvlJc w:val="left"/>
    </w:lvl>
  </w:abstractNum>
  <w:abstractNum w:abstractNumId="1">
    <w:nsid w:val="5A1295AF"/>
    <w:multiLevelType w:val="singleLevel"/>
    <w:tmpl w:val="5A1295AF"/>
    <w:lvl w:ilvl="0" w:tentative="0">
      <w:start w:val="2"/>
      <w:numFmt w:val="chineseCounting"/>
      <w:suff w:val="nothing"/>
      <w:lvlText w:val="（%1）"/>
      <w:lvlJc w:val="left"/>
    </w:lvl>
  </w:abstractNum>
  <w:abstractNum w:abstractNumId="2">
    <w:nsid w:val="5A12A622"/>
    <w:multiLevelType w:val="singleLevel"/>
    <w:tmpl w:val="5A12A622"/>
    <w:lvl w:ilvl="0" w:tentative="0">
      <w:start w:val="4"/>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YzI4NmIwMmZkOWM1ODg4MTEwYzE5ZTNjMWRmYmYifQ=="/>
  </w:docVars>
  <w:rsids>
    <w:rsidRoot w:val="52976C91"/>
    <w:rsid w:val="0B1510F5"/>
    <w:rsid w:val="3AE3685A"/>
    <w:rsid w:val="4D1138FD"/>
    <w:rsid w:val="5297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1786</Words>
  <Characters>1984</Characters>
  <Lines>0</Lines>
  <Paragraphs>0</Paragraphs>
  <TotalTime>1</TotalTime>
  <ScaleCrop>false</ScaleCrop>
  <LinksUpToDate>false</LinksUpToDate>
  <CharactersWithSpaces>2186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2023-04-28T07:20:00Z</dcterms:created>
  <dc:creator>LENOVO-PC</dc:creator>
  <cp:lastModifiedBy>熊玉琳</cp:lastModifiedBy>
  <dcterms:modified xsi:type="dcterms:W3CDTF">2023-07-17T08:44:32Z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A526225991AB44E995DEC7AD6CC97891_13</vt:lpwstr>
  </property>
</Properties>
</file>