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eastAsia="方正小标宋简体"/>
          <w:bCs/>
          <w:sz w:val="46"/>
          <w:szCs w:val="46"/>
        </w:rPr>
      </w:pPr>
      <w:r>
        <w:rPr>
          <w:rFonts w:hint="eastAsia" w:eastAsia="方正小标宋简体"/>
          <w:bCs/>
          <w:sz w:val="46"/>
          <w:szCs w:val="46"/>
        </w:rPr>
        <w:t>岳阳市云溪区20</w:t>
      </w:r>
      <w:r>
        <w:rPr>
          <w:rFonts w:hint="eastAsia" w:eastAsia="方正小标宋简体"/>
          <w:bCs/>
          <w:sz w:val="46"/>
          <w:szCs w:val="46"/>
          <w:u w:val="single"/>
          <w:lang w:val="en-US" w:eastAsia="zh-CN"/>
        </w:rPr>
        <w:t>22</w:t>
      </w:r>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u w:val="single"/>
        </w:rPr>
        <w:t xml:space="preserve">岳阳市云溪区司法局  </w:t>
      </w:r>
      <w:r>
        <w:rPr>
          <w:rFonts w:hint="eastAsia" w:eastAsia="仿宋_GB2312"/>
          <w:sz w:val="32"/>
          <w:szCs w:val="32"/>
          <w:u w:val="single"/>
        </w:rPr>
        <w:t xml:space="preserve">                           </w:t>
      </w:r>
    </w:p>
    <w:p>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348" w:lineRule="auto"/>
        <w:jc w:val="center"/>
        <w:rPr>
          <w:rFonts w:hint="eastAsia" w:eastAsia="仿宋_GB2312"/>
          <w:sz w:val="32"/>
        </w:rPr>
      </w:pPr>
      <w:r>
        <w:rPr>
          <w:rFonts w:hint="eastAsia" w:eastAsia="仿宋_GB2312"/>
          <w:sz w:val="32"/>
        </w:rPr>
        <w:t>报告日期：</w:t>
      </w:r>
      <w:r>
        <w:rPr>
          <w:rFonts w:hint="eastAsia" w:eastAsia="仿宋_GB2312"/>
          <w:sz w:val="32"/>
          <w:lang w:val="en-US" w:eastAsia="zh-CN"/>
        </w:rPr>
        <w:t>2023</w:t>
      </w:r>
      <w:r>
        <w:rPr>
          <w:rFonts w:hint="eastAsia" w:eastAsia="仿宋_GB2312"/>
          <w:sz w:val="32"/>
        </w:rPr>
        <w:t>年</w:t>
      </w:r>
      <w:r>
        <w:rPr>
          <w:rFonts w:hint="eastAsia" w:eastAsia="仿宋_GB2312"/>
          <w:sz w:val="32"/>
          <w:lang w:val="en-US" w:eastAsia="zh-CN"/>
        </w:rPr>
        <w:t>7</w:t>
      </w:r>
      <w:r>
        <w:rPr>
          <w:rFonts w:hint="eastAsia" w:eastAsia="仿宋_GB2312"/>
          <w:sz w:val="32"/>
        </w:rPr>
        <w:t>月</w:t>
      </w:r>
      <w:r>
        <w:rPr>
          <w:rFonts w:hint="eastAsia" w:eastAsia="仿宋_GB2312"/>
          <w:sz w:val="32"/>
          <w:lang w:val="en-US" w:eastAsia="zh-CN"/>
        </w:rPr>
        <w:t>13</w:t>
      </w:r>
      <w:r>
        <w:rPr>
          <w:rFonts w:hint="eastAsia" w:eastAsia="仿宋_GB2312"/>
          <w:sz w:val="32"/>
        </w:rPr>
        <w:t>日</w:t>
      </w:r>
    </w:p>
    <w:p>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titlePg/>
          <w:docGrid w:type="linesAndChars" w:linePitch="602" w:charSpace="-782"/>
        </w:sectPr>
      </w:pPr>
      <w:r>
        <w:rPr>
          <w:rFonts w:hint="eastAsia" w:eastAsia="仿宋_GB2312"/>
          <w:sz w:val="32"/>
        </w:rPr>
        <w:t>岳阳市云溪财政</w:t>
      </w:r>
      <w:r>
        <w:rPr>
          <w:rFonts w:hint="eastAsia" w:eastAsia="仿宋_GB2312"/>
          <w:sz w:val="32"/>
          <w:szCs w:val="32"/>
        </w:rPr>
        <w:t>局（制）</w:t>
      </w:r>
    </w:p>
    <w:tbl>
      <w:tblPr>
        <w:tblStyle w:val="3"/>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联系人</w:t>
            </w:r>
          </w:p>
        </w:tc>
        <w:tc>
          <w:tcPr>
            <w:tcW w:w="3561" w:type="dxa"/>
            <w:gridSpan w:val="6"/>
            <w:vAlign w:val="center"/>
          </w:tcPr>
          <w:p>
            <w:pPr>
              <w:autoSpaceDN w:val="0"/>
              <w:spacing w:line="320" w:lineRule="exact"/>
              <w:jc w:val="center"/>
              <w:textAlignment w:val="center"/>
              <w:rPr>
                <w:rFonts w:hint="eastAsia" w:ascii="华文仿宋" w:hAnsi="华文仿宋" w:eastAsia="华文仿宋" w:cs="华文仿宋"/>
                <w:color w:val="000000"/>
                <w:sz w:val="24"/>
                <w:lang w:eastAsia="zh-CN"/>
              </w:rPr>
            </w:pPr>
            <w:r>
              <w:rPr>
                <w:rFonts w:hint="eastAsia" w:ascii="华文仿宋" w:hAnsi="华文仿宋" w:eastAsia="华文仿宋" w:cs="华文仿宋"/>
                <w:color w:val="000000"/>
                <w:sz w:val="24"/>
                <w:lang w:eastAsia="zh-CN"/>
              </w:rPr>
              <w:t>鲁欣</w:t>
            </w:r>
          </w:p>
        </w:tc>
        <w:tc>
          <w:tcPr>
            <w:tcW w:w="1479" w:type="dxa"/>
            <w:vAlign w:val="center"/>
          </w:tcPr>
          <w:p>
            <w:pPr>
              <w:autoSpaceDN w:val="0"/>
              <w:spacing w:line="320" w:lineRule="exact"/>
              <w:jc w:val="center"/>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联络电话</w:t>
            </w:r>
          </w:p>
        </w:tc>
        <w:tc>
          <w:tcPr>
            <w:tcW w:w="3106" w:type="dxa"/>
            <w:gridSpan w:val="8"/>
            <w:vAlign w:val="center"/>
          </w:tcPr>
          <w:p>
            <w:pPr>
              <w:autoSpaceDN w:val="0"/>
              <w:spacing w:line="320" w:lineRule="exact"/>
              <w:jc w:val="center"/>
              <w:textAlignment w:val="center"/>
              <w:rPr>
                <w:rFonts w:hint="default" w:ascii="华文仿宋" w:hAnsi="华文仿宋" w:eastAsia="华文仿宋" w:cs="华文仿宋"/>
                <w:color w:val="000000"/>
                <w:sz w:val="24"/>
                <w:lang w:val="en-US" w:eastAsia="zh-CN"/>
              </w:rPr>
            </w:pPr>
            <w:r>
              <w:rPr>
                <w:rFonts w:hint="eastAsia" w:ascii="华文仿宋" w:hAnsi="华文仿宋" w:eastAsia="华文仿宋" w:cs="华文仿宋"/>
                <w:color w:val="000000"/>
                <w:sz w:val="24"/>
                <w:lang w:val="en-US" w:eastAsia="zh-CN"/>
              </w:rPr>
              <w:t>18107301198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人员编制</w:t>
            </w:r>
          </w:p>
        </w:tc>
        <w:tc>
          <w:tcPr>
            <w:tcW w:w="3561" w:type="dxa"/>
            <w:gridSpan w:val="6"/>
            <w:vAlign w:val="center"/>
          </w:tcPr>
          <w:p>
            <w:pPr>
              <w:autoSpaceDN w:val="0"/>
              <w:spacing w:line="320" w:lineRule="exact"/>
              <w:jc w:val="center"/>
              <w:textAlignment w:val="center"/>
              <w:rPr>
                <w:rFonts w:hint="default" w:ascii="华文仿宋" w:hAnsi="华文仿宋" w:eastAsia="华文仿宋" w:cs="华文仿宋"/>
                <w:color w:val="000000"/>
                <w:sz w:val="24"/>
                <w:lang w:val="en-US" w:eastAsia="zh-CN"/>
              </w:rPr>
            </w:pPr>
            <w:r>
              <w:rPr>
                <w:rFonts w:hint="eastAsia" w:ascii="华文仿宋" w:hAnsi="华文仿宋" w:eastAsia="华文仿宋" w:cs="华文仿宋"/>
                <w:color w:val="000000"/>
                <w:sz w:val="24"/>
                <w:lang w:val="en-US" w:eastAsia="zh-CN"/>
              </w:rPr>
              <w:t>28</w:t>
            </w:r>
          </w:p>
        </w:tc>
        <w:tc>
          <w:tcPr>
            <w:tcW w:w="1479" w:type="dxa"/>
            <w:vAlign w:val="center"/>
          </w:tcPr>
          <w:p>
            <w:pPr>
              <w:autoSpaceDN w:val="0"/>
              <w:spacing w:line="320" w:lineRule="exact"/>
              <w:jc w:val="center"/>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实有人数</w:t>
            </w:r>
          </w:p>
        </w:tc>
        <w:tc>
          <w:tcPr>
            <w:tcW w:w="3106" w:type="dxa"/>
            <w:gridSpan w:val="8"/>
            <w:vAlign w:val="center"/>
          </w:tcPr>
          <w:p>
            <w:pPr>
              <w:autoSpaceDN w:val="0"/>
              <w:spacing w:line="320" w:lineRule="exact"/>
              <w:jc w:val="center"/>
              <w:textAlignment w:val="center"/>
              <w:rPr>
                <w:rFonts w:hint="default" w:ascii="华文仿宋" w:hAnsi="华文仿宋" w:eastAsia="华文仿宋" w:cs="华文仿宋"/>
                <w:color w:val="000000"/>
                <w:sz w:val="24"/>
                <w:lang w:val="en-US" w:eastAsia="zh-CN"/>
              </w:rPr>
            </w:pPr>
            <w:r>
              <w:rPr>
                <w:rFonts w:hint="eastAsia" w:ascii="华文仿宋" w:hAnsi="华文仿宋" w:eastAsia="华文仿宋" w:cs="华文仿宋"/>
                <w:color w:val="000000"/>
                <w:sz w:val="24"/>
                <w:lang w:val="en-US" w:eastAsia="zh-CN"/>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职能职责概述</w:t>
            </w:r>
          </w:p>
        </w:tc>
        <w:tc>
          <w:tcPr>
            <w:tcW w:w="8146" w:type="dxa"/>
            <w:gridSpan w:val="15"/>
            <w:vAlign w:val="center"/>
          </w:tcPr>
          <w:p>
            <w:pPr>
              <w:autoSpaceDN w:val="0"/>
              <w:spacing w:line="32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2"/>
                <w:szCs w:val="22"/>
                <w:lang w:val="en-US" w:eastAsia="zh-CN"/>
              </w:rPr>
              <w:t>1.承担全面依法治区重大问题的政策研究；2.指导全区规范文件管理有关工作，承担政府规范文件的合法性审查工作；3.承担统筹推进法治政府建设工作；4.负责对政府合同订立工作进行监督和指导；5承担统筹规划全区法治社会建设工作；6.指导、管理社区矫正工作，指导刑满释放人员安置帮教工作；7.拟订公共法律服务体系建设规划并指导实施，指导、监督法律援助、司法鉴定和基层法律服务管理工作；8.规划、协调、指导法治人才队伍建设相关工作。9.完成区委、区政府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年度主要</w:t>
            </w:r>
          </w:p>
          <w:p>
            <w:pPr>
              <w:autoSpaceDN w:val="0"/>
              <w:spacing w:line="320" w:lineRule="exact"/>
              <w:jc w:val="center"/>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工作内容</w:t>
            </w:r>
          </w:p>
        </w:tc>
        <w:tc>
          <w:tcPr>
            <w:tcW w:w="8146" w:type="dxa"/>
            <w:gridSpan w:val="15"/>
            <w:vAlign w:val="center"/>
          </w:tcPr>
          <w:p>
            <w:pPr>
              <w:autoSpaceDN w:val="0"/>
              <w:spacing w:line="320" w:lineRule="exact"/>
              <w:jc w:val="left"/>
              <w:textAlignment w:val="center"/>
              <w:rPr>
                <w:rFonts w:hint="eastAsia" w:ascii="华文仿宋" w:hAnsi="华文仿宋" w:eastAsia="华文仿宋" w:cs="华文仿宋"/>
                <w:color w:val="000000"/>
                <w:sz w:val="22"/>
                <w:szCs w:val="22"/>
                <w:lang w:val="en-US" w:eastAsia="zh-CN"/>
              </w:rPr>
            </w:pPr>
            <w:r>
              <w:rPr>
                <w:rFonts w:hint="eastAsia" w:ascii="华文仿宋" w:hAnsi="华文仿宋" w:eastAsia="华文仿宋" w:cs="华文仿宋"/>
                <w:color w:val="000000"/>
                <w:sz w:val="22"/>
                <w:szCs w:val="22"/>
                <w:lang w:val="en-US" w:eastAsia="zh-CN"/>
              </w:rPr>
              <w:t>任务1：法律援助工作方面：扩大法律援助范围，优化法律援助质量与效果，保障困难群体安居乐业，不断增强困难群众获得感、幸福感、安全感。</w:t>
            </w:r>
          </w:p>
          <w:p>
            <w:pPr>
              <w:autoSpaceDN w:val="0"/>
              <w:spacing w:line="320" w:lineRule="exact"/>
              <w:jc w:val="left"/>
              <w:textAlignment w:val="center"/>
              <w:rPr>
                <w:rFonts w:hint="eastAsia" w:ascii="华文仿宋" w:hAnsi="华文仿宋" w:eastAsia="华文仿宋" w:cs="华文仿宋"/>
                <w:color w:val="000000"/>
                <w:sz w:val="22"/>
                <w:szCs w:val="22"/>
                <w:lang w:val="en-US" w:eastAsia="zh-CN"/>
              </w:rPr>
            </w:pPr>
            <w:r>
              <w:rPr>
                <w:rFonts w:hint="eastAsia" w:ascii="华文仿宋" w:hAnsi="华文仿宋" w:eastAsia="华文仿宋" w:cs="华文仿宋"/>
                <w:color w:val="000000"/>
                <w:sz w:val="22"/>
                <w:szCs w:val="22"/>
                <w:lang w:val="en-US" w:eastAsia="zh-CN"/>
              </w:rPr>
              <w:t>任务2：“智慧矫正”建设方面：创新管理体制，着力推进队建制改革和“智慧”矫正建设工作</w:t>
            </w:r>
          </w:p>
          <w:p>
            <w:pPr>
              <w:autoSpaceDN w:val="0"/>
              <w:spacing w:line="320" w:lineRule="exact"/>
              <w:jc w:val="left"/>
              <w:textAlignment w:val="center"/>
              <w:rPr>
                <w:rFonts w:hint="eastAsia" w:ascii="华文仿宋" w:hAnsi="华文仿宋" w:eastAsia="华文仿宋" w:cs="华文仿宋"/>
                <w:color w:val="000000"/>
                <w:sz w:val="22"/>
                <w:szCs w:val="22"/>
                <w:lang w:val="en-US" w:eastAsia="zh-CN"/>
              </w:rPr>
            </w:pPr>
            <w:r>
              <w:rPr>
                <w:rFonts w:hint="eastAsia" w:ascii="华文仿宋" w:hAnsi="华文仿宋" w:eastAsia="华文仿宋" w:cs="华文仿宋"/>
                <w:color w:val="000000"/>
                <w:sz w:val="22"/>
                <w:szCs w:val="22"/>
                <w:lang w:val="en-US" w:eastAsia="zh-CN"/>
              </w:rPr>
              <w:t>任务3：落实刑满释放人员帮教措施，建好帮教档案。</w:t>
            </w:r>
          </w:p>
          <w:p>
            <w:pPr>
              <w:autoSpaceDN w:val="0"/>
              <w:spacing w:line="320" w:lineRule="exact"/>
              <w:jc w:val="left"/>
              <w:textAlignment w:val="center"/>
              <w:rPr>
                <w:rFonts w:hint="eastAsia" w:ascii="华文仿宋" w:hAnsi="华文仿宋" w:eastAsia="华文仿宋" w:cs="华文仿宋"/>
                <w:color w:val="000000"/>
                <w:sz w:val="22"/>
                <w:szCs w:val="22"/>
                <w:lang w:val="en-US" w:eastAsia="zh-CN"/>
              </w:rPr>
            </w:pPr>
            <w:r>
              <w:rPr>
                <w:rFonts w:hint="eastAsia" w:ascii="华文仿宋" w:hAnsi="华文仿宋" w:eastAsia="华文仿宋" w:cs="华文仿宋"/>
                <w:color w:val="000000"/>
                <w:sz w:val="22"/>
                <w:szCs w:val="22"/>
                <w:lang w:val="en-US" w:eastAsia="zh-CN"/>
              </w:rPr>
              <w:t>任务4: 公共法律服务全流程、全地域网上提供服务。</w:t>
            </w:r>
          </w:p>
          <w:p>
            <w:pPr>
              <w:autoSpaceDN w:val="0"/>
              <w:spacing w:line="32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2"/>
                <w:szCs w:val="22"/>
                <w:lang w:val="en-US" w:eastAsia="zh-CN"/>
              </w:rPr>
              <w:t>任务5：人民调解“第一道防线”作用进一步发挥，积极推进人民参与法治建设。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102" w:hRule="atLeast"/>
          <w:jc w:val="center"/>
        </w:trPr>
        <w:tc>
          <w:tcPr>
            <w:tcW w:w="1654" w:type="dxa"/>
            <w:gridSpan w:val="2"/>
            <w:vAlign w:val="center"/>
          </w:tcPr>
          <w:p>
            <w:pPr>
              <w:autoSpaceDN w:val="0"/>
              <w:spacing w:line="320" w:lineRule="exact"/>
              <w:jc w:val="center"/>
              <w:textAlignment w:val="center"/>
              <w:rPr>
                <w:rFonts w:hint="eastAsia" w:ascii="华文仿宋" w:hAnsi="华文仿宋" w:eastAsia="华文仿宋" w:cs="华文仿宋"/>
                <w:color w:val="000000"/>
                <w:spacing w:val="-6"/>
                <w:sz w:val="24"/>
              </w:rPr>
            </w:pPr>
            <w:r>
              <w:rPr>
                <w:rFonts w:hint="eastAsia" w:ascii="华文仿宋" w:hAnsi="华文仿宋" w:eastAsia="华文仿宋" w:cs="华文仿宋"/>
                <w:color w:val="000000"/>
                <w:spacing w:val="-6"/>
                <w:sz w:val="24"/>
              </w:rPr>
              <w:t>年度部门（单位）总体运行情况及取得的成绩</w:t>
            </w:r>
          </w:p>
        </w:tc>
        <w:tc>
          <w:tcPr>
            <w:tcW w:w="8146" w:type="dxa"/>
            <w:gridSpan w:val="15"/>
            <w:vAlign w:val="center"/>
          </w:tcPr>
          <w:p>
            <w:pPr>
              <w:autoSpaceDN w:val="0"/>
              <w:spacing w:line="320" w:lineRule="exact"/>
              <w:jc w:val="left"/>
              <w:textAlignment w:val="center"/>
              <w:rPr>
                <w:rFonts w:hint="eastAsia" w:ascii="华文仿宋" w:hAnsi="华文仿宋" w:eastAsia="华文仿宋" w:cs="华文仿宋"/>
                <w:color w:val="000000"/>
                <w:sz w:val="22"/>
                <w:szCs w:val="22"/>
                <w:lang w:val="en-US" w:eastAsia="zh-CN"/>
              </w:rPr>
            </w:pPr>
            <w:r>
              <w:rPr>
                <w:rFonts w:hint="eastAsia" w:ascii="华文仿宋" w:hAnsi="华文仿宋" w:eastAsia="华文仿宋" w:cs="华文仿宋"/>
                <w:color w:val="000000"/>
                <w:sz w:val="22"/>
                <w:szCs w:val="22"/>
                <w:lang w:val="en-US" w:eastAsia="zh-CN"/>
              </w:rPr>
              <w:t>绩效管理工作开展情况：</w:t>
            </w:r>
          </w:p>
          <w:p>
            <w:pPr>
              <w:autoSpaceDN w:val="0"/>
              <w:spacing w:line="320" w:lineRule="exact"/>
              <w:jc w:val="left"/>
              <w:textAlignment w:val="center"/>
              <w:rPr>
                <w:rFonts w:hint="eastAsia" w:ascii="华文仿宋" w:hAnsi="华文仿宋" w:eastAsia="华文仿宋" w:cs="华文仿宋"/>
                <w:color w:val="000000"/>
                <w:sz w:val="22"/>
                <w:szCs w:val="22"/>
                <w:lang w:val="en-US" w:eastAsia="zh-CN"/>
              </w:rPr>
            </w:pPr>
            <w:r>
              <w:rPr>
                <w:rFonts w:hint="eastAsia" w:ascii="华文仿宋" w:hAnsi="华文仿宋" w:eastAsia="华文仿宋" w:cs="华文仿宋"/>
                <w:color w:val="000000"/>
                <w:sz w:val="22"/>
                <w:szCs w:val="22"/>
                <w:lang w:val="en-US" w:eastAsia="zh-CN"/>
              </w:rPr>
              <w:t>1.法律援助工作方面：2022年共接待法援咨询553人次，办理法律援助案件116件，其中刑事案件82件、民事案件26件、劳动仲裁案件8件,比2021年同期增加18件。</w:t>
            </w:r>
          </w:p>
          <w:p>
            <w:pPr>
              <w:autoSpaceDN w:val="0"/>
              <w:spacing w:line="320" w:lineRule="exact"/>
              <w:jc w:val="left"/>
              <w:textAlignment w:val="center"/>
              <w:rPr>
                <w:rFonts w:hint="eastAsia" w:ascii="华文仿宋" w:hAnsi="华文仿宋" w:eastAsia="华文仿宋" w:cs="华文仿宋"/>
                <w:color w:val="000000"/>
                <w:sz w:val="22"/>
                <w:szCs w:val="22"/>
                <w:lang w:val="en-US" w:eastAsia="zh-CN"/>
              </w:rPr>
            </w:pPr>
            <w:r>
              <w:rPr>
                <w:rFonts w:hint="eastAsia" w:ascii="华文仿宋" w:hAnsi="华文仿宋" w:eastAsia="华文仿宋" w:cs="华文仿宋"/>
                <w:color w:val="000000"/>
                <w:sz w:val="22"/>
                <w:szCs w:val="22"/>
                <w:lang w:val="en-US" w:eastAsia="zh-CN"/>
              </w:rPr>
              <w:t>2.“智慧矫正”建设方面：创新管理体制，着力推进队建制改革和“智慧”矫正建设工作。按照省市社区矫正“队建制”改革试点及“智慧矫正”建设工作要求，在社区矫正人员的管理上形成“五统一”的工作格局，提高司法公信力。</w:t>
            </w:r>
          </w:p>
          <w:p>
            <w:pPr>
              <w:autoSpaceDN w:val="0"/>
              <w:spacing w:line="320" w:lineRule="exact"/>
              <w:jc w:val="left"/>
              <w:textAlignment w:val="center"/>
              <w:rPr>
                <w:rFonts w:hint="eastAsia" w:ascii="华文仿宋" w:hAnsi="华文仿宋" w:eastAsia="华文仿宋" w:cs="华文仿宋"/>
                <w:color w:val="000000"/>
                <w:sz w:val="22"/>
                <w:szCs w:val="22"/>
                <w:lang w:val="en-US" w:eastAsia="zh-CN"/>
              </w:rPr>
            </w:pPr>
            <w:r>
              <w:rPr>
                <w:rFonts w:hint="eastAsia" w:ascii="华文仿宋" w:hAnsi="华文仿宋" w:eastAsia="华文仿宋" w:cs="华文仿宋"/>
                <w:color w:val="000000"/>
                <w:sz w:val="22"/>
                <w:szCs w:val="22"/>
                <w:lang w:val="en-US" w:eastAsia="zh-CN"/>
              </w:rPr>
              <w:t>3.安置帮教工作方面：2022年我区共新接收刑释解矫人员78人，全部已衔接，通过各种渠道都基本得了安置，安置率达99.8%。</w:t>
            </w:r>
          </w:p>
          <w:p>
            <w:pPr>
              <w:autoSpaceDN w:val="0"/>
              <w:spacing w:line="320" w:lineRule="exact"/>
              <w:jc w:val="left"/>
              <w:textAlignment w:val="center"/>
              <w:rPr>
                <w:rFonts w:hint="eastAsia" w:ascii="华文仿宋" w:hAnsi="华文仿宋" w:eastAsia="华文仿宋" w:cs="华文仿宋"/>
                <w:color w:val="000000"/>
                <w:sz w:val="22"/>
                <w:szCs w:val="22"/>
                <w:lang w:val="en-US" w:eastAsia="zh-CN"/>
              </w:rPr>
            </w:pPr>
            <w:r>
              <w:rPr>
                <w:rFonts w:hint="eastAsia" w:ascii="华文仿宋" w:hAnsi="华文仿宋" w:eastAsia="华文仿宋" w:cs="华文仿宋"/>
                <w:color w:val="000000"/>
                <w:sz w:val="22"/>
                <w:szCs w:val="22"/>
                <w:lang w:val="en-US" w:eastAsia="zh-CN"/>
              </w:rPr>
              <w:t>4.公共法律服务工作方面：公共法律服务全流程、全地域网上提供服务，坚持如法网线上咨询工作日亮灯，使群众足不出户即可进行法律咨询、申请法律援助。</w:t>
            </w:r>
          </w:p>
          <w:p>
            <w:pPr>
              <w:autoSpaceDN w:val="0"/>
              <w:spacing w:line="32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2"/>
                <w:szCs w:val="22"/>
                <w:lang w:val="en-US" w:eastAsia="zh-CN"/>
              </w:rPr>
              <w:t>5.人民调解工作方面：人民调解“第一道防线”作用进一步发挥，积极推进人民参与法治建设，认真学习“枫桥经验”，做到“小事不出村、大事不出镇（街道）、矛盾不上交”。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93"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41" w:hRule="atLeast"/>
          <w:jc w:val="center"/>
        </w:trPr>
        <w:tc>
          <w:tcPr>
            <w:tcW w:w="1700" w:type="dxa"/>
            <w:gridSpan w:val="3"/>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0" w:hRule="atLeast"/>
          <w:jc w:val="center"/>
        </w:trPr>
        <w:tc>
          <w:tcPr>
            <w:tcW w:w="1700" w:type="dxa"/>
            <w:gridSpan w:val="3"/>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170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758.75</w:t>
            </w:r>
          </w:p>
        </w:tc>
        <w:tc>
          <w:tcPr>
            <w:tcW w:w="1355" w:type="dxa"/>
            <w:gridSpan w:val="2"/>
            <w:tcBorders>
              <w:left w:val="single" w:color="auto" w:sz="4" w:space="0"/>
            </w:tcBorders>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723.94</w:t>
            </w:r>
          </w:p>
        </w:tc>
        <w:tc>
          <w:tcPr>
            <w:tcW w:w="1705" w:type="dxa"/>
            <w:gridSpan w:val="2"/>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24.8</w:t>
            </w:r>
          </w:p>
        </w:tc>
        <w:tc>
          <w:tcPr>
            <w:tcW w:w="1800"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w:t>
            </w:r>
          </w:p>
        </w:tc>
        <w:tc>
          <w:tcPr>
            <w:tcW w:w="108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77" w:hRule="atLeast"/>
          <w:jc w:val="center"/>
        </w:trPr>
        <w:tc>
          <w:tcPr>
            <w:tcW w:w="1700" w:type="dxa"/>
            <w:gridSpan w:val="3"/>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758.75</w:t>
            </w: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723.94</w:t>
            </w: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24.8</w:t>
            </w:r>
          </w:p>
        </w:tc>
        <w:tc>
          <w:tcPr>
            <w:tcW w:w="1800" w:type="dxa"/>
            <w:gridSpan w:val="4"/>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w:t>
            </w:r>
          </w:p>
        </w:tc>
        <w:tc>
          <w:tcPr>
            <w:tcW w:w="108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59" w:hRule="atLeast"/>
          <w:jc w:val="center"/>
        </w:trPr>
        <w:tc>
          <w:tcPr>
            <w:tcW w:w="1700" w:type="dxa"/>
            <w:gridSpan w:val="3"/>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37" w:hRule="atLeast"/>
          <w:jc w:val="center"/>
        </w:trPr>
        <w:tc>
          <w:tcPr>
            <w:tcW w:w="1700" w:type="dxa"/>
            <w:gridSpan w:val="3"/>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723.94</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723.94</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459.53</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264.41</w:t>
            </w: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720"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723.94</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723.94</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459.53</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264.41</w:t>
            </w: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3.30</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zh-CN" w:eastAsia="zh-CN"/>
              </w:rPr>
              <w:t>1.</w:t>
            </w:r>
            <w:r>
              <w:rPr>
                <w:rFonts w:hint="eastAsia" w:ascii="仿宋_GB2312" w:hAnsi="仿宋_GB2312" w:eastAsia="仿宋_GB2312" w:cs="仿宋_GB2312"/>
                <w:color w:val="000000"/>
                <w:sz w:val="24"/>
                <w:lang w:val="en-US" w:eastAsia="zh-CN"/>
              </w:rPr>
              <w:t>3</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3.30</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zh-CN" w:eastAsia="zh-CN"/>
              </w:rPr>
              <w:t>1.</w:t>
            </w:r>
            <w:r>
              <w:rPr>
                <w:rFonts w:hint="eastAsia" w:ascii="仿宋_GB2312" w:hAnsi="仿宋_GB2312" w:eastAsia="仿宋_GB2312" w:cs="仿宋_GB2312"/>
                <w:color w:val="000000"/>
                <w:sz w:val="24"/>
                <w:lang w:val="en-US" w:eastAsia="zh-CN"/>
              </w:rPr>
              <w:t>3</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242.33</w:t>
            </w: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242.33</w:t>
            </w: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242.33</w:t>
            </w: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242.33</w:t>
            </w: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任务</w:t>
            </w:r>
            <w:r>
              <w:rPr>
                <w:rFonts w:hint="eastAsia" w:ascii="华文仿宋" w:hAnsi="华文仿宋" w:eastAsia="华文仿宋" w:cs="华文仿宋"/>
                <w:color w:val="000000"/>
                <w:sz w:val="24"/>
                <w:lang w:val="en-US" w:eastAsia="zh-CN"/>
              </w:rPr>
              <w:t>1</w:t>
            </w:r>
            <w:r>
              <w:rPr>
                <w:rFonts w:hint="eastAsia" w:ascii="华文仿宋" w:hAnsi="华文仿宋" w:eastAsia="华文仿宋" w:cs="华文仿宋"/>
                <w:color w:val="000000"/>
                <w:sz w:val="24"/>
              </w:rPr>
              <w:t>：</w:t>
            </w:r>
            <w:r>
              <w:rPr>
                <w:rFonts w:hint="eastAsia" w:ascii="华文仿宋" w:hAnsi="华文仿宋" w:eastAsia="华文仿宋" w:cs="华文仿宋"/>
                <w:color w:val="000000"/>
                <w:sz w:val="24"/>
                <w:lang w:val="en-US" w:eastAsia="zh-CN"/>
              </w:rPr>
              <w:t>法律援助工作方面：扩大法律援助范围，优化法律援助质量与效果，保障困难群体安居乐业，不断增强困难群众获得感、幸福感、安全感。</w:t>
            </w:r>
          </w:p>
          <w:p>
            <w:pPr>
              <w:autoSpaceDN w:val="0"/>
              <w:spacing w:line="32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任务</w:t>
            </w:r>
            <w:r>
              <w:rPr>
                <w:rFonts w:hint="eastAsia" w:ascii="华文仿宋" w:hAnsi="华文仿宋" w:eastAsia="华文仿宋" w:cs="华文仿宋"/>
                <w:color w:val="000000"/>
                <w:sz w:val="24"/>
                <w:lang w:val="en-US" w:eastAsia="zh-CN"/>
              </w:rPr>
              <w:t>2</w:t>
            </w:r>
            <w:r>
              <w:rPr>
                <w:rFonts w:hint="eastAsia" w:ascii="华文仿宋" w:hAnsi="华文仿宋" w:eastAsia="华文仿宋" w:cs="华文仿宋"/>
                <w:color w:val="000000"/>
                <w:sz w:val="24"/>
              </w:rPr>
              <w:t>：“智慧矫正”建设方面：创新管理体制，着力推进队建制改革和“智慧”矫正建设工作</w:t>
            </w:r>
          </w:p>
          <w:p>
            <w:pPr>
              <w:autoSpaceDN w:val="0"/>
              <w:spacing w:line="32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任务3：落实刑满释放人员帮教措施，建好帮教档案。</w:t>
            </w:r>
          </w:p>
          <w:p>
            <w:pPr>
              <w:autoSpaceDN w:val="0"/>
              <w:spacing w:line="320" w:lineRule="exact"/>
              <w:jc w:val="left"/>
              <w:textAlignment w:val="center"/>
              <w:rPr>
                <w:rFonts w:hint="eastAsia" w:ascii="华文仿宋" w:hAnsi="华文仿宋" w:eastAsia="华文仿宋" w:cs="华文仿宋"/>
                <w:color w:val="000000"/>
                <w:sz w:val="24"/>
              </w:rPr>
            </w:pPr>
            <w:r>
              <w:rPr>
                <w:rFonts w:hint="eastAsia" w:ascii="华文仿宋" w:hAnsi="华文仿宋" w:eastAsia="华文仿宋" w:cs="华文仿宋"/>
                <w:color w:val="000000"/>
                <w:sz w:val="24"/>
              </w:rPr>
              <w:t>任务4: 公共法律服务全流程、全地域网上提供服务</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华文仿宋" w:hAnsi="华文仿宋" w:eastAsia="华文仿宋" w:cs="华文仿宋"/>
                <w:color w:val="000000"/>
                <w:sz w:val="24"/>
              </w:rPr>
              <w:t>任务5：人民调解“第一道防线”作用进一步发挥，积极推进人民参与法治建设</w:t>
            </w:r>
          </w:p>
        </w:tc>
        <w:tc>
          <w:tcPr>
            <w:tcW w:w="4585" w:type="dxa"/>
            <w:gridSpan w:val="9"/>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46"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p>
            <w:pPr>
              <w:autoSpaceDN w:val="0"/>
              <w:spacing w:line="400" w:lineRule="exact"/>
              <w:jc w:val="center"/>
              <w:textAlignment w:val="center"/>
              <w:rPr>
                <w:rFonts w:hint="eastAsia" w:ascii="仿宋_GB2312" w:hAnsi="仿宋_GB2312" w:eastAsia="仿宋_GB2312" w:cs="仿宋_GB2312"/>
                <w:sz w:val="24"/>
              </w:rPr>
            </w:pPr>
          </w:p>
        </w:tc>
        <w:tc>
          <w:tcPr>
            <w:tcW w:w="2709" w:type="dxa"/>
            <w:gridSpan w:val="4"/>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 w:eastAsia="仿宋_GB2312" w:cs="仿宋_GB2312"/>
                <w:color w:val="000000"/>
                <w:sz w:val="24"/>
              </w:rPr>
              <w:t>为全区经济社会发展创造良好的法治环境</w:t>
            </w:r>
          </w:p>
        </w:tc>
        <w:tc>
          <w:tcPr>
            <w:tcW w:w="2684" w:type="dxa"/>
            <w:gridSpan w:val="6"/>
            <w:vMerge w:val="restart"/>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2"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 w:eastAsia="仿宋_GB2312" w:cs="仿宋_GB2312"/>
                <w:color w:val="000000"/>
                <w:sz w:val="24"/>
              </w:rPr>
              <w:t>开展法律宣传活动5次以上</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2"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 w:eastAsia="仿宋_GB2312" w:cs="仿宋_GB2312"/>
                <w:color w:val="000000"/>
                <w:sz w:val="24"/>
              </w:rPr>
              <w:t>调处各类矛盾纠纷500起以上</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 w:eastAsia="仿宋_GB2312" w:cs="仿宋_GB2312"/>
                <w:color w:val="000000"/>
                <w:sz w:val="24"/>
              </w:rPr>
              <w:t>指标3：办理法律援助案件100件以上</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8"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 w:eastAsia="仿宋_GB2312" w:cs="仿宋_GB2312"/>
                <w:color w:val="000000"/>
                <w:sz w:val="24"/>
              </w:rPr>
              <w:t>全年抓排查、重调处</w:t>
            </w:r>
          </w:p>
        </w:tc>
        <w:tc>
          <w:tcPr>
            <w:tcW w:w="2684" w:type="dxa"/>
            <w:gridSpan w:val="6"/>
            <w:vMerge w:val="restart"/>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6"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Merge w:val="restart"/>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 w:eastAsia="仿宋_GB2312" w:cs="仿宋_GB2312"/>
                <w:color w:val="000000"/>
                <w:sz w:val="24"/>
              </w:rPr>
              <w:t>投入司法行政工作专项资金100万元以上</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 w:eastAsia="仿宋_GB2312" w:cs="仿宋_GB2312"/>
                <w:color w:val="000000"/>
                <w:sz w:val="24"/>
              </w:rPr>
              <w:t>排除调处矛盾纠纷，维护社会和谐稳定</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 w:eastAsia="仿宋_GB2312" w:cs="仿宋_GB2312"/>
                <w:color w:val="000000"/>
                <w:sz w:val="24"/>
              </w:rPr>
              <w:t>办理相关法律援助案件，</w:t>
            </w:r>
            <w:r>
              <w:rPr>
                <w:rFonts w:hint="eastAsia" w:ascii="仿宋_GB2312" w:hAnsi="仿宋_GB2312" w:eastAsia="仿宋_GB2312" w:cs="仿宋_GB2312"/>
                <w:color w:val="000000"/>
                <w:sz w:val="24"/>
              </w:rPr>
              <w:t>确保人民群众生命财产安全，减少经济损失</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指标1：创造良好的社会发展环境，促进经济发展</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指标1：社会公众比较满意</w:t>
            </w:r>
          </w:p>
        </w:tc>
        <w:tc>
          <w:tcPr>
            <w:tcW w:w="2684"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陈勇</w:t>
            </w:r>
          </w:p>
        </w:tc>
        <w:tc>
          <w:tcPr>
            <w:tcW w:w="3561"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二级主任科员、分管领导</w:t>
            </w:r>
          </w:p>
        </w:tc>
        <w:tc>
          <w:tcPr>
            <w:tcW w:w="1479" w:type="dxa"/>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岳阳市云溪区司法局</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张艾</w:t>
            </w:r>
          </w:p>
        </w:tc>
        <w:tc>
          <w:tcPr>
            <w:tcW w:w="3561"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出纳</w:t>
            </w:r>
          </w:p>
        </w:tc>
        <w:tc>
          <w:tcPr>
            <w:tcW w:w="1479" w:type="dxa"/>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岳阳市云溪区司法局</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鲁欣</w:t>
            </w:r>
          </w:p>
        </w:tc>
        <w:tc>
          <w:tcPr>
            <w:tcW w:w="3561" w:type="dxa"/>
            <w:gridSpan w:val="6"/>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会计</w:t>
            </w:r>
          </w:p>
        </w:tc>
        <w:tc>
          <w:tcPr>
            <w:tcW w:w="1479" w:type="dxa"/>
            <w:vAlign w:val="center"/>
          </w:tcPr>
          <w:p>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岳阳市云溪区司法局</w:t>
            </w:r>
          </w:p>
        </w:tc>
        <w:tc>
          <w:tcPr>
            <w:tcW w:w="3106"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hint="eastAsia" w:eastAsia="仿宋_GB2312"/>
                <w:sz w:val="24"/>
              </w:rPr>
            </w:pPr>
            <w:r>
              <w:rPr>
                <w:rFonts w:hint="eastAsia" w:eastAsia="仿宋_GB2312"/>
                <w:sz w:val="24"/>
              </w:rPr>
              <w:t>财政部门归口业务股室意见：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财政部门归口业务股室负责人（签章）：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eastAsia" w:eastAsia="仿宋_GB2312" w:cs="仿宋_GB2312"/>
          <w:bCs/>
          <w:sz w:val="28"/>
          <w:szCs w:val="28"/>
        </w:rPr>
      </w:pPr>
      <w:r>
        <w:rPr>
          <w:rFonts w:hint="eastAsia" w:eastAsia="仿宋_GB2312" w:cs="仿宋_GB2312"/>
          <w:bCs/>
          <w:sz w:val="28"/>
          <w:szCs w:val="28"/>
        </w:rPr>
        <w:t>填报人（签名）：                          联系电话：</w:t>
      </w:r>
    </w:p>
    <w:tbl>
      <w:tblPr>
        <w:tblStyle w:val="3"/>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vAlign w:val="top"/>
          </w:tcPr>
          <w:p>
            <w:pPr>
              <w:jc w:val="center"/>
              <w:rPr>
                <w:rFonts w:hint="eastAsia"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hint="eastAsia" w:eastAsia="仿宋_GB2312"/>
                <w:sz w:val="32"/>
                <w:szCs w:val="32"/>
              </w:rPr>
            </w:pPr>
          </w:p>
          <w:p>
            <w:pPr>
              <w:rPr>
                <w:rFonts w:hint="eastAsia" w:ascii="仿宋_GB2312" w:hAnsi="Calibri" w:eastAsia="仿宋_GB2312"/>
                <w:sz w:val="30"/>
                <w:szCs w:val="30"/>
              </w:rPr>
            </w:pPr>
            <w:r>
              <w:rPr>
                <w:rFonts w:hint="eastAsia" w:ascii="仿宋_GB2312" w:hAnsi="Calibri" w:eastAsia="仿宋_GB2312"/>
                <w:sz w:val="30"/>
                <w:szCs w:val="30"/>
              </w:rPr>
              <w:t>一、整体支出概况</w:t>
            </w:r>
          </w:p>
          <w:p>
            <w:pPr>
              <w:ind w:firstLine="600" w:firstLineChars="200"/>
              <w:rPr>
                <w:rFonts w:hint="eastAsia" w:ascii="仿宋_GB2312" w:hAnsi="仿宋" w:eastAsia="仿宋_GB2312"/>
                <w:sz w:val="30"/>
                <w:szCs w:val="30"/>
              </w:rPr>
            </w:pPr>
            <w:r>
              <w:rPr>
                <w:rFonts w:hint="eastAsia" w:ascii="仿宋_GB2312" w:hAnsi="仿宋" w:eastAsia="仿宋_GB2312"/>
                <w:sz w:val="30"/>
                <w:szCs w:val="30"/>
                <w:lang w:val="en-US" w:eastAsia="zh-CN"/>
              </w:rPr>
              <w:t>2022</w:t>
            </w:r>
            <w:r>
              <w:rPr>
                <w:rFonts w:hint="eastAsia" w:ascii="仿宋_GB2312" w:hAnsi="仿宋" w:eastAsia="仿宋_GB2312"/>
                <w:sz w:val="30"/>
                <w:szCs w:val="30"/>
              </w:rPr>
              <w:t>年，总收入</w:t>
            </w:r>
            <w:r>
              <w:rPr>
                <w:rFonts w:hint="eastAsia" w:ascii="仿宋_GB2312" w:hAnsi="仿宋" w:eastAsia="仿宋_GB2312"/>
                <w:sz w:val="30"/>
                <w:szCs w:val="30"/>
                <w:lang w:val="en-US" w:eastAsia="zh-CN"/>
              </w:rPr>
              <w:t>758.75</w:t>
            </w:r>
            <w:r>
              <w:rPr>
                <w:rFonts w:hint="eastAsia" w:ascii="仿宋_GB2312" w:hAnsi="仿宋" w:eastAsia="仿宋_GB2312"/>
                <w:sz w:val="30"/>
                <w:szCs w:val="30"/>
              </w:rPr>
              <w:t>万元，其中财政拨款723.94万元，政府基金拨款</w:t>
            </w:r>
            <w:r>
              <w:rPr>
                <w:rFonts w:hint="eastAsia" w:ascii="仿宋_GB2312" w:hAnsi="仿宋" w:eastAsia="仿宋_GB2312"/>
                <w:sz w:val="30"/>
                <w:szCs w:val="30"/>
                <w:lang w:val="en-US" w:eastAsia="zh-CN"/>
              </w:rPr>
              <w:t>24.8万，</w:t>
            </w:r>
            <w:r>
              <w:rPr>
                <w:rFonts w:hint="eastAsia" w:ascii="仿宋_GB2312" w:hAnsi="仿宋" w:eastAsia="仿宋_GB2312"/>
                <w:sz w:val="30"/>
                <w:szCs w:val="30"/>
              </w:rPr>
              <w:t>纳入专户管理的非税收入拨款</w:t>
            </w:r>
            <w:r>
              <w:rPr>
                <w:rFonts w:hint="eastAsia" w:ascii="仿宋_GB2312" w:hAnsi="仿宋" w:eastAsia="仿宋_GB2312"/>
                <w:sz w:val="30"/>
                <w:szCs w:val="30"/>
                <w:lang w:val="en-US" w:eastAsia="zh-CN"/>
              </w:rPr>
              <w:t>10万</w:t>
            </w:r>
            <w:r>
              <w:rPr>
                <w:rFonts w:hint="eastAsia" w:ascii="仿宋_GB2312" w:hAnsi="仿宋" w:eastAsia="仿宋_GB2312"/>
                <w:sz w:val="30"/>
                <w:szCs w:val="30"/>
              </w:rPr>
              <w:t>。总支出</w:t>
            </w:r>
            <w:r>
              <w:rPr>
                <w:rFonts w:hint="eastAsia" w:ascii="仿宋_GB2312" w:hAnsi="仿宋" w:eastAsia="仿宋_GB2312"/>
                <w:sz w:val="30"/>
                <w:szCs w:val="30"/>
                <w:lang w:val="en-US" w:eastAsia="zh-CN"/>
              </w:rPr>
              <w:t>723.94</w:t>
            </w:r>
            <w:r>
              <w:rPr>
                <w:rFonts w:hint="eastAsia" w:ascii="仿宋_GB2312" w:hAnsi="仿宋" w:eastAsia="仿宋_GB2312"/>
                <w:sz w:val="30"/>
                <w:szCs w:val="30"/>
              </w:rPr>
              <w:t>万元，基本支出</w:t>
            </w:r>
            <w:r>
              <w:rPr>
                <w:rFonts w:hint="eastAsia" w:ascii="仿宋_GB2312" w:hAnsi="仿宋" w:eastAsia="仿宋_GB2312"/>
                <w:sz w:val="30"/>
                <w:szCs w:val="30"/>
                <w:lang w:val="en-US" w:eastAsia="zh-CN"/>
              </w:rPr>
              <w:t>723.94</w:t>
            </w:r>
            <w:r>
              <w:rPr>
                <w:rFonts w:hint="eastAsia" w:ascii="仿宋_GB2312" w:hAnsi="仿宋" w:eastAsia="仿宋_GB2312"/>
                <w:sz w:val="30"/>
                <w:szCs w:val="30"/>
              </w:rPr>
              <w:t>万元，其中人员支出</w:t>
            </w:r>
            <w:r>
              <w:rPr>
                <w:rFonts w:hint="eastAsia" w:ascii="仿宋_GB2312" w:hAnsi="仿宋" w:eastAsia="仿宋_GB2312"/>
                <w:sz w:val="30"/>
                <w:szCs w:val="30"/>
                <w:lang w:val="en-US" w:eastAsia="zh-CN"/>
              </w:rPr>
              <w:t>459.53</w:t>
            </w:r>
            <w:r>
              <w:rPr>
                <w:rFonts w:hint="eastAsia" w:ascii="仿宋_GB2312" w:hAnsi="仿宋" w:eastAsia="仿宋_GB2312"/>
                <w:sz w:val="30"/>
                <w:szCs w:val="30"/>
              </w:rPr>
              <w:t>万，公用支出264.41万元。</w:t>
            </w:r>
          </w:p>
          <w:p>
            <w:pPr>
              <w:rPr>
                <w:rFonts w:hint="eastAsia" w:ascii="仿宋_GB2312" w:hAnsi="仿宋" w:eastAsia="仿宋_GB2312"/>
                <w:bCs/>
                <w:sz w:val="30"/>
                <w:szCs w:val="30"/>
              </w:rPr>
            </w:pPr>
            <w:r>
              <w:rPr>
                <w:rFonts w:hint="eastAsia" w:ascii="仿宋_GB2312" w:hAnsi="仿宋" w:eastAsia="仿宋_GB2312"/>
                <w:bCs/>
                <w:sz w:val="30"/>
                <w:szCs w:val="30"/>
              </w:rPr>
              <w:t>二、资金使用及管理情况</w:t>
            </w:r>
          </w:p>
          <w:p>
            <w:pPr>
              <w:ind w:firstLine="600" w:firstLineChars="200"/>
              <w:rPr>
                <w:rFonts w:hint="eastAsia" w:ascii="仿宋_GB2312" w:hAnsi="仿宋" w:eastAsia="仿宋_GB2312"/>
                <w:bCs/>
                <w:sz w:val="30"/>
                <w:szCs w:val="30"/>
              </w:rPr>
            </w:pPr>
            <w:r>
              <w:rPr>
                <w:rFonts w:hint="eastAsia" w:ascii="仿宋_GB2312" w:hAnsi="仿宋" w:eastAsia="仿宋_GB2312"/>
                <w:bCs/>
                <w:sz w:val="30"/>
                <w:szCs w:val="30"/>
              </w:rPr>
              <w:t>资金使用和管理严格按照局机关年初制定的各项规章制度，严格一支笔审批，所有报销凭证，必须有经办人、办公室主任和审批人签字后方可报销。一次性开支50000元以上的需经局班子成员会议集体研究决定，否则不论何种情况，不能报销。</w:t>
            </w:r>
          </w:p>
          <w:p>
            <w:pPr>
              <w:ind w:firstLine="600" w:firstLineChars="200"/>
              <w:rPr>
                <w:rFonts w:hint="eastAsia" w:ascii="仿宋_GB2312" w:hAnsi="仿宋" w:eastAsia="仿宋_GB2312"/>
                <w:bCs/>
                <w:sz w:val="30"/>
                <w:szCs w:val="30"/>
              </w:rPr>
            </w:pPr>
            <w:r>
              <w:rPr>
                <w:rFonts w:hint="eastAsia" w:ascii="仿宋_GB2312" w:hAnsi="仿宋" w:eastAsia="仿宋_GB2312"/>
                <w:bCs/>
                <w:sz w:val="30"/>
                <w:szCs w:val="30"/>
              </w:rPr>
              <w:t>为规范项目管理，确保项目质量，制定了项目管理制度，强化项目资金管理。严格做到“专账管理、专款专用”，项目资金由分管财务领导、项目负责人、纪检组长和局长会审后方可支付。</w:t>
            </w:r>
          </w:p>
          <w:p>
            <w:pPr>
              <w:rPr>
                <w:rFonts w:hint="eastAsia" w:ascii="黑体" w:hAnsi="Calibri" w:eastAsia="黑体"/>
                <w:sz w:val="30"/>
                <w:szCs w:val="30"/>
              </w:rPr>
            </w:pPr>
            <w:r>
              <w:rPr>
                <w:rFonts w:hint="eastAsia" w:ascii="黑体" w:hAnsi="Calibri" w:eastAsia="黑体"/>
                <w:sz w:val="30"/>
                <w:szCs w:val="30"/>
              </w:rPr>
              <w:t>三、组织实施情况</w:t>
            </w:r>
          </w:p>
          <w:p>
            <w:pPr>
              <w:ind w:firstLine="600" w:firstLineChars="200"/>
              <w:rPr>
                <w:rFonts w:eastAsia="楷体_GB2312"/>
                <w:bCs/>
                <w:sz w:val="28"/>
                <w:szCs w:val="28"/>
              </w:rPr>
            </w:pPr>
            <w:r>
              <w:rPr>
                <w:rFonts w:hint="eastAsia" w:ascii="仿宋_GB2312" w:hAnsi="Calibri" w:eastAsia="仿宋_GB2312"/>
                <w:sz w:val="30"/>
                <w:szCs w:val="30"/>
              </w:rPr>
              <w:t>我局修订了《云溪区司法局机关管理制度》，从财务管理制度、小车管理制度、公务接待制度、奖励制度等13个方面加以规范，以制度管人管事，由纪检组长负责日常的检查监督。</w:t>
            </w:r>
          </w:p>
        </w:tc>
      </w:tr>
    </w:tbl>
    <w:p>
      <w:pPr>
        <w:spacing w:line="120" w:lineRule="auto"/>
        <w:jc w:val="both"/>
        <w:rPr>
          <w:rFonts w:hint="eastAsia" w:ascii="方正小标宋简体" w:eastAsia="方正小标宋简体"/>
          <w:sz w:val="38"/>
          <w:szCs w:val="38"/>
        </w:rPr>
      </w:pPr>
      <w:r>
        <w:rPr>
          <w:rFonts w:eastAsia="楷体_GB2312"/>
          <w:bCs/>
          <w:sz w:val="28"/>
          <w:szCs w:val="28"/>
        </w:rPr>
        <w:br w:type="page"/>
      </w:r>
      <w:r>
        <w:rPr>
          <w:rFonts w:hint="eastAsia" w:ascii="方正小标宋简体" w:eastAsia="方正小标宋简体"/>
          <w:sz w:val="38"/>
          <w:szCs w:val="38"/>
        </w:rPr>
        <w:t>部门整体支出绩效评价评分表（参考样表）</w:t>
      </w:r>
    </w:p>
    <w:tbl>
      <w:tblPr>
        <w:tblStyle w:val="3"/>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39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在职人员控制率为118%该扣分1.80分</w:t>
            </w: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有资金结余</w:t>
            </w:r>
          </w:p>
        </w:tc>
      </w:tr>
      <w:tr>
        <w:tblPrEx>
          <w:tblCellMar>
            <w:top w:w="0" w:type="dxa"/>
            <w:left w:w="108" w:type="dxa"/>
            <w:bottom w:w="0" w:type="dxa"/>
            <w:right w:w="108" w:type="dxa"/>
          </w:tblCellMar>
        </w:tblPrEx>
        <w:trPr>
          <w:trHeight w:val="55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15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69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both"/>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3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2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nil"/>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nil"/>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nil"/>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nil"/>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nil"/>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nil"/>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65" w:hRule="atLeast"/>
          <w:jc w:val="center"/>
        </w:trPr>
        <w:tc>
          <w:tcPr>
            <w:tcW w:w="97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3"/>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存在闲置资产</w:t>
            </w: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bookmarkStart w:id="0" w:name="_GoBack" w:colFirst="0" w:colLast="0"/>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此项指标根据《中共岳阳市云溪区委 岳阳市云溪区人民政府 关于印发岳阳市云溪区2018年度综合绩效考核工作实施方案的通知》（岳云发〔2018〕10号）考核内容设置。</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r>
              <w:rPr>
                <w:rFonts w:hint="eastAsia" w:ascii="仿宋_GB2312" w:hAnsi="宋体" w:eastAsia="仿宋_GB2312" w:cs="宋体"/>
                <w:kern w:val="0"/>
                <w:sz w:val="18"/>
                <w:szCs w:val="18"/>
              </w:rPr>
              <w:br w:type="textWrapping"/>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bookmarkEnd w:id="0"/>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altName w:val="微软雅黑"/>
    <w:panose1 w:val="02010609060101010101"/>
    <w:charset w:val="86"/>
    <w:family w:val="modern"/>
    <w:pitch w:val="default"/>
    <w:sig w:usb0="00000000" w:usb1="00000000" w:usb2="00000016" w:usb3="00000000" w:csb0="00040001" w:csb1="00000000"/>
  </w:font>
  <w:font w:name="楷体_GB2312">
    <w:altName w:val="Arial Unicode MS"/>
    <w:panose1 w:val="02010609030101010101"/>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4"/>
        <w:szCs w:val="24"/>
      </w:rPr>
    </w:pPr>
    <w:r>
      <w:rPr>
        <w:rStyle w:val="5"/>
        <w:rFonts w:hint="eastAsia"/>
        <w:sz w:val="24"/>
        <w:szCs w:val="24"/>
      </w:rPr>
      <w:t xml:space="preserve">— </w:t>
    </w:r>
    <w:r>
      <w:rPr>
        <w:sz w:val="24"/>
        <w:szCs w:val="24"/>
      </w:rPr>
      <w:fldChar w:fldCharType="begin"/>
    </w:r>
    <w:r>
      <w:rPr>
        <w:rStyle w:val="5"/>
        <w:sz w:val="24"/>
        <w:szCs w:val="24"/>
      </w:rPr>
      <w:instrText xml:space="preserve">PAGE  </w:instrText>
    </w:r>
    <w:r>
      <w:rPr>
        <w:sz w:val="24"/>
        <w:szCs w:val="24"/>
      </w:rPr>
      <w:fldChar w:fldCharType="separate"/>
    </w:r>
    <w:r>
      <w:rPr>
        <w:rStyle w:val="5"/>
        <w:sz w:val="24"/>
        <w:szCs w:val="24"/>
      </w:rPr>
      <w:t>2</w:t>
    </w:r>
    <w:r>
      <w:rPr>
        <w:sz w:val="24"/>
        <w:szCs w:val="24"/>
      </w:rPr>
      <w:fldChar w:fldCharType="end"/>
    </w:r>
    <w:r>
      <w:rPr>
        <w:rStyle w:val="5"/>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NjExM2Q3MGI4ODBkYTk3N2IxNTFhNmM0MTIxOTgifQ=="/>
  </w:docVars>
  <w:rsids>
    <w:rsidRoot w:val="55A45DBC"/>
    <w:rsid w:val="55A45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3824</Words>
  <Characters>4148</Characters>
  <Lines>0</Lines>
  <Paragraphs>0</Paragraphs>
  <TotalTime>43</TotalTime>
  <ScaleCrop>false</ScaleCrop>
  <LinksUpToDate>false</LinksUpToDate>
  <CharactersWithSpaces>4689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2023-07-12T06:27:00Z</dcterms:created>
  <dc:creator>哇</dc:creator>
  <cp:lastModifiedBy>哇</cp:lastModifiedBy>
  <cp:lastPrinted>2023-07-13T08:21:24Z</cp:lastPrinted>
  <dcterms:modified xsi:type="dcterms:W3CDTF">2023-07-13T08:22:09Z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CA8E2A114E674EA48DCD220E85CAD8E6_11</vt:lpwstr>
  </property>
</Properties>
</file>