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sz w:val="32"/>
          <w:szCs w:val="32"/>
        </w:rPr>
      </w:pPr>
    </w:p>
    <w:p>
      <w:pPr>
        <w:spacing w:line="600" w:lineRule="exact"/>
        <w:rPr>
          <w:rFonts w:hint="eastAsia" w:ascii="黑体" w:hAnsi="黑体" w:eastAsia="黑体" w:cs="黑体"/>
          <w:bCs/>
          <w:sz w:val="32"/>
          <w:szCs w:val="32"/>
        </w:rPr>
      </w:pPr>
      <w:r>
        <w:rPr>
          <w:rFonts w:hint="eastAsia" w:ascii="黑体" w:hAnsi="黑体" w:eastAsia="黑体" w:cs="黑体"/>
          <w:bCs/>
          <w:sz w:val="32"/>
          <w:szCs w:val="32"/>
        </w:rPr>
        <w:t>附件2-1</w:t>
      </w:r>
    </w:p>
    <w:p>
      <w:pPr>
        <w:spacing w:line="600" w:lineRule="exact"/>
        <w:rPr>
          <w:rFonts w:hint="eastAsia" w:ascii="方正小标宋简体" w:hAnsi="黑体" w:eastAsia="方正小标宋简体" w:cs="黑体"/>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w:t>
      </w:r>
      <w:r>
        <w:rPr>
          <w:rFonts w:hint="eastAsia" w:ascii="方正小标宋简体" w:eastAsia="方正小标宋简体"/>
          <w:bCs/>
          <w:sz w:val="44"/>
          <w:szCs w:val="44"/>
          <w:u w:val="single"/>
          <w:lang w:val="en-US" w:eastAsia="zh-CN"/>
        </w:rPr>
        <w:t>2</w:t>
      </w:r>
      <w:r>
        <w:rPr>
          <w:rFonts w:hint="eastAsia" w:ascii="方正小标宋简体" w:eastAsia="方正小标宋简体"/>
          <w:bCs/>
          <w:sz w:val="44"/>
          <w:szCs w:val="44"/>
        </w:rPr>
        <w:t>年度部门整体支出</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hint="eastAsia" w:eastAsia="仿宋_GB2312"/>
          <w:b/>
          <w:sz w:val="32"/>
        </w:rPr>
      </w:pPr>
    </w:p>
    <w:p>
      <w:pPr>
        <w:spacing w:line="600" w:lineRule="exact"/>
        <w:rPr>
          <w:rFonts w:hint="eastAsia" w:eastAsia="仿宋_GB2312"/>
          <w:b/>
          <w:sz w:val="32"/>
        </w:rPr>
      </w:pPr>
      <w:r>
        <w:rPr>
          <w:rFonts w:hint="eastAsia" w:eastAsia="仿宋_GB2312"/>
          <w:b/>
          <w:sz w:val="32"/>
        </w:rPr>
        <w:t xml:space="preserve"> </w:t>
      </w:r>
    </w:p>
    <w:p>
      <w:pPr>
        <w:spacing w:line="600" w:lineRule="exact"/>
        <w:rPr>
          <w:rFonts w:hint="eastAsia" w:eastAsia="仿宋_GB2312"/>
          <w:b/>
          <w:sz w:val="32"/>
        </w:rPr>
      </w:pPr>
    </w:p>
    <w:p>
      <w:pPr>
        <w:spacing w:line="600" w:lineRule="exact"/>
        <w:rPr>
          <w:rFonts w:hint="eastAsia" w:eastAsia="仿宋_GB2312"/>
          <w:b/>
          <w:sz w:val="32"/>
        </w:rPr>
      </w:pPr>
    </w:p>
    <w:p>
      <w:pPr>
        <w:spacing w:line="800" w:lineRule="exact"/>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行政审批服务局                           </w:t>
      </w:r>
    </w:p>
    <w:p>
      <w:pPr>
        <w:spacing w:line="800" w:lineRule="exact"/>
        <w:ind w:firstLine="476" w:firstLineChars="150"/>
        <w:rPr>
          <w:rFonts w:hint="eastAsia" w:eastAsia="仿宋_GB2312"/>
          <w:sz w:val="32"/>
          <w:szCs w:val="32"/>
        </w:rPr>
      </w:pPr>
      <w:r>
        <w:rPr>
          <w:rFonts w:hint="eastAsia" w:eastAsia="仿宋_GB2312"/>
          <w:sz w:val="32"/>
          <w:szCs w:val="32"/>
        </w:rPr>
        <w:t>预算编码：</w:t>
      </w:r>
      <w:r>
        <w:rPr>
          <w:rFonts w:hint="eastAsia" w:eastAsia="仿宋_GB2312"/>
          <w:sz w:val="32"/>
          <w:szCs w:val="32"/>
          <w:u w:val="single"/>
        </w:rPr>
        <w:t xml:space="preserve">   050                                </w:t>
      </w:r>
    </w:p>
    <w:p>
      <w:pPr>
        <w:spacing w:line="800" w:lineRule="exact"/>
        <w:ind w:firstLine="476" w:firstLineChars="150"/>
        <w:rPr>
          <w:rFonts w:hint="eastAsia"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800" w:lineRule="exact"/>
        <w:ind w:firstLine="476" w:firstLineChars="150"/>
        <w:rPr>
          <w:rFonts w:hint="eastAsia" w:eastAsia="仿宋_GB2312"/>
          <w:sz w:val="32"/>
        </w:rPr>
      </w:pPr>
    </w:p>
    <w:p>
      <w:pPr>
        <w:spacing w:line="800" w:lineRule="exact"/>
        <w:ind w:firstLine="1268" w:firstLineChars="400"/>
        <w:rPr>
          <w:rFonts w:hint="eastAsia" w:eastAsia="仿宋_GB2312"/>
          <w:sz w:val="32"/>
        </w:rPr>
      </w:pPr>
    </w:p>
    <w:p>
      <w:pPr>
        <w:spacing w:line="800" w:lineRule="exact"/>
        <w:ind w:firstLine="1268" w:firstLineChars="400"/>
        <w:rPr>
          <w:rFonts w:hint="eastAsia" w:eastAsia="仿宋_GB2312"/>
          <w:sz w:val="32"/>
        </w:rPr>
      </w:pPr>
      <w:r>
        <w:rPr>
          <w:rFonts w:hint="eastAsia" w:eastAsia="仿宋_GB2312"/>
          <w:sz w:val="32"/>
        </w:rPr>
        <w:t>报告日期：202</w:t>
      </w:r>
      <w:r>
        <w:rPr>
          <w:rFonts w:hint="eastAsia" w:eastAsia="仿宋_GB2312"/>
          <w:sz w:val="32"/>
          <w:lang w:val="en-US" w:eastAsia="zh-CN"/>
        </w:rPr>
        <w:t>3</w:t>
      </w:r>
      <w:r>
        <w:rPr>
          <w:rFonts w:hint="eastAsia" w:eastAsia="仿宋_GB2312"/>
          <w:sz w:val="32"/>
        </w:rPr>
        <w:t xml:space="preserve">   年  7 月 13  日</w:t>
      </w:r>
    </w:p>
    <w:p>
      <w:pPr>
        <w:spacing w:line="600" w:lineRule="exact"/>
        <w:ind w:firstLine="1902" w:firstLineChars="600"/>
        <w:rPr>
          <w:rFonts w:hint="eastAsia" w:eastAsia="仿宋_GB2312"/>
          <w:sz w:val="32"/>
        </w:rPr>
        <w:sectPr>
          <w:footerReference r:id="rId3" w:type="default"/>
          <w:footerReference r:id="rId4"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6"/>
        <w:tblW w:w="9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615"/>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74" w:type="dxa"/>
            <w:gridSpan w:val="1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李红梅</w:t>
            </w: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8419717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一）推进、指导、协调、监督全区政务公开（政府信息公开、办事公开）和政务服务体系建设。</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（二）指导、协调、推进全区行政审批制度改革工作。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（三）组织、协调、推进和监督全区行政审批和公共服务事项进驻区政务服务大厅集中办理。</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（四）统筹协调、规划指导、监督评估全区政府系统电子政务工作；统筹推进、监督协调全区“互联网+政务服务”工作；</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（五）牵头负责全区放管服改革工作；维护营商政务、法制等环境；协调、推进全区行政效能工作。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1"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任务1：任务1：突出一个中心任务，打造阳光政府形象。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任务2：绩效实施三大提升，营造政务服务新风貌</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任务3：依托政务服务平台，发展电子政务工作</w:t>
            </w:r>
          </w:p>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52"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年总体运行较好</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年被评为绩效考核先进单位。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74" w:type="dxa"/>
            <w:gridSpan w:val="1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74" w:type="dxa"/>
            <w:gridSpan w:val="1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74" w:type="dxa"/>
            <w:gridSpan w:val="3"/>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874" w:type="dxa"/>
            <w:gridSpan w:val="3"/>
            <w:vMerge w:val="continue"/>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874" w:type="dxa"/>
            <w:gridSpan w:val="3"/>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875.39</w:t>
            </w:r>
          </w:p>
        </w:tc>
        <w:tc>
          <w:tcPr>
            <w:tcW w:w="1355" w:type="dxa"/>
            <w:gridSpan w:val="2"/>
            <w:tcBorders>
              <w:left w:val="single" w:color="auto" w:sz="4" w:space="0"/>
            </w:tcBorders>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875.39</w:t>
            </w:r>
          </w:p>
        </w:tc>
        <w:tc>
          <w:tcPr>
            <w:tcW w:w="1705" w:type="dxa"/>
            <w:gridSpan w:val="2"/>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74" w:type="dxa"/>
            <w:gridSpan w:val="3"/>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875.39</w:t>
            </w:r>
          </w:p>
        </w:tc>
        <w:tc>
          <w:tcPr>
            <w:tcW w:w="1355" w:type="dxa"/>
            <w:gridSpan w:val="2"/>
            <w:tcBorders>
              <w:left w:val="single" w:color="auto" w:sz="4" w:space="0"/>
            </w:tcBorders>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875.39</w:t>
            </w:r>
          </w:p>
        </w:tc>
        <w:tc>
          <w:tcPr>
            <w:tcW w:w="1705" w:type="dxa"/>
            <w:gridSpan w:val="2"/>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74" w:type="dxa"/>
            <w:gridSpan w:val="3"/>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74" w:type="dxa"/>
            <w:gridSpan w:val="3"/>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74" w:type="dxa"/>
            <w:gridSpan w:val="1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874" w:type="dxa"/>
            <w:gridSpan w:val="3"/>
            <w:vMerge w:val="restart"/>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874" w:type="dxa"/>
            <w:gridSpan w:val="3"/>
            <w:vMerge w:val="continue"/>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874" w:type="dxa"/>
            <w:gridSpan w:val="3"/>
            <w:vMerge w:val="continue"/>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9"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870.29</w:t>
            </w:r>
          </w:p>
        </w:tc>
        <w:tc>
          <w:tcPr>
            <w:tcW w:w="1355" w:type="dxa"/>
            <w:gridSpan w:val="2"/>
            <w:tcBorders>
              <w:lef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826.65</w:t>
            </w:r>
          </w:p>
        </w:tc>
        <w:tc>
          <w:tcPr>
            <w:tcW w:w="1080" w:type="dxa"/>
            <w:gridSpan w:val="2"/>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330.01</w:t>
            </w:r>
          </w:p>
        </w:tc>
        <w:tc>
          <w:tcPr>
            <w:tcW w:w="2160" w:type="dxa"/>
            <w:gridSpan w:val="4"/>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496.64</w:t>
            </w:r>
          </w:p>
        </w:tc>
        <w:tc>
          <w:tcPr>
            <w:tcW w:w="1080" w:type="dxa"/>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43.64</w:t>
            </w:r>
          </w:p>
        </w:tc>
        <w:tc>
          <w:tcPr>
            <w:tcW w:w="720" w:type="dxa"/>
            <w:gridSpan w:val="3"/>
            <w:tcBorders>
              <w:righ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w:t>
            </w:r>
          </w:p>
        </w:tc>
        <w:tc>
          <w:tcPr>
            <w:tcW w:w="625" w:type="dxa"/>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874" w:type="dxa"/>
            <w:gridSpan w:val="3"/>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870.29</w:t>
            </w:r>
          </w:p>
        </w:tc>
        <w:tc>
          <w:tcPr>
            <w:tcW w:w="1355" w:type="dxa"/>
            <w:gridSpan w:val="2"/>
            <w:tcBorders>
              <w:lef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826.65</w:t>
            </w:r>
          </w:p>
        </w:tc>
        <w:tc>
          <w:tcPr>
            <w:tcW w:w="1080" w:type="dxa"/>
            <w:gridSpan w:val="2"/>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330.01</w:t>
            </w:r>
          </w:p>
        </w:tc>
        <w:tc>
          <w:tcPr>
            <w:tcW w:w="2160" w:type="dxa"/>
            <w:gridSpan w:val="4"/>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496.64</w:t>
            </w:r>
          </w:p>
        </w:tc>
        <w:tc>
          <w:tcPr>
            <w:tcW w:w="1080" w:type="dxa"/>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43.64</w:t>
            </w:r>
          </w:p>
        </w:tc>
        <w:tc>
          <w:tcPr>
            <w:tcW w:w="720" w:type="dxa"/>
            <w:gridSpan w:val="3"/>
            <w:tcBorders>
              <w:righ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w:t>
            </w:r>
          </w:p>
        </w:tc>
        <w:tc>
          <w:tcPr>
            <w:tcW w:w="625" w:type="dxa"/>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874" w:type="dxa"/>
            <w:gridSpan w:val="3"/>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jc w:val="center"/>
        </w:trPr>
        <w:tc>
          <w:tcPr>
            <w:tcW w:w="1874" w:type="dxa"/>
            <w:gridSpan w:val="3"/>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Merge w:val="restart"/>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Merge w:val="continue"/>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Merge w:val="restart"/>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Merge w:val="continue"/>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75.55</w:t>
            </w:r>
          </w:p>
        </w:tc>
        <w:tc>
          <w:tcPr>
            <w:tcW w:w="2435" w:type="dxa"/>
            <w:gridSpan w:val="4"/>
            <w:tcBorders>
              <w:lef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75.55</w:t>
            </w:r>
          </w:p>
        </w:tc>
        <w:tc>
          <w:tcPr>
            <w:tcW w:w="3644" w:type="dxa"/>
            <w:gridSpan w:val="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75.55</w:t>
            </w:r>
          </w:p>
        </w:tc>
        <w:tc>
          <w:tcPr>
            <w:tcW w:w="2435" w:type="dxa"/>
            <w:gridSpan w:val="4"/>
            <w:tcBorders>
              <w:left w:val="single" w:color="auto" w:sz="4" w:space="0"/>
            </w:tcBorders>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75.55</w:t>
            </w:r>
          </w:p>
        </w:tc>
        <w:tc>
          <w:tcPr>
            <w:tcW w:w="3644" w:type="dxa"/>
            <w:gridSpan w:val="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74" w:type="dxa"/>
            <w:gridSpan w:val="3"/>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74" w:type="dxa"/>
            <w:gridSpan w:val="1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15" w:type="dxa"/>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任务1：突出一个中心任务，打造阳光政府形象。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任务2：绩效实施三大提升，营造政务服务新风貌</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任务3：依托政务服务平台，发展电子政务工作</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15" w:type="dxa"/>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Cs w:val="21"/>
              </w:rPr>
            </w:pPr>
            <w:r>
              <w:rPr>
                <w:rFonts w:hint="eastAsia" w:ascii="仿宋_GB2312" w:eastAsia="仿宋_GB2312"/>
                <w:szCs w:val="21"/>
              </w:rPr>
              <w:t>进一步精简行政审批流程，压缩审批环节。</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0"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vAlign w:val="center"/>
          </w:tcPr>
          <w:p>
            <w:pPr>
              <w:spacing w:line="360" w:lineRule="exact"/>
              <w:rPr>
                <w:rFonts w:hint="eastAsia" w:ascii="仿宋_GB2312" w:hAnsi="仿宋_GB2312" w:eastAsia="仿宋_GB2312" w:cs="仿宋_GB2312"/>
                <w:sz w:val="24"/>
              </w:rPr>
            </w:pP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Cs w:val="21"/>
              </w:rPr>
            </w:pPr>
            <w:r>
              <w:rPr>
                <w:rFonts w:hint="eastAsia" w:ascii="仿宋_GB2312" w:eastAsia="仿宋_GB2312"/>
                <w:szCs w:val="21"/>
                <w:lang w:val="en-US" w:eastAsia="zh-CN"/>
              </w:rPr>
              <w:t>39</w:t>
            </w:r>
            <w:r>
              <w:rPr>
                <w:rFonts w:hint="eastAsia" w:ascii="仿宋_GB2312" w:eastAsia="仿宋_GB2312"/>
                <w:szCs w:val="21"/>
              </w:rPr>
              <w:t>个部门单位，设立窗口80个，办理事项1159个</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9"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tcPr>
          <w:p>
            <w:r>
              <w:rPr>
                <w:rFonts w:hint="eastAsia" w:ascii="仿宋_GB2312" w:eastAsia="仿宋_GB2312"/>
                <w:szCs w:val="21"/>
              </w:rPr>
              <w:t>一件事一次办，时间在政府规定时间内压缩2/3</w:t>
            </w:r>
          </w:p>
        </w:tc>
        <w:tc>
          <w:tcPr>
            <w:tcW w:w="2684" w:type="dxa"/>
            <w:gridSpan w:val="6"/>
          </w:tcPr>
          <w:p>
            <w:r>
              <w:rPr>
                <w:rFonts w:hint="eastAsia" w:ascii="仿宋_GB2312" w:eastAsia="仿宋_GB2312"/>
                <w:szCs w:val="21"/>
              </w:rPr>
              <w:t>一件事一次办，时间在政府规定时间内压缩2/3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0"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9"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Cs w:val="21"/>
              </w:rPr>
            </w:pPr>
            <w:r>
              <w:rPr>
                <w:rFonts w:hint="eastAsia" w:ascii="仿宋_GB2312" w:eastAsia="仿宋_GB2312"/>
                <w:szCs w:val="21"/>
              </w:rPr>
              <w:t>对入驻办证大厅的行政审批服务事项进行清理，精简行政审批流程，压缩审批环节。</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615" w:type="dxa"/>
            <w:vMerge w:val="continue"/>
            <w:vAlign w:val="center"/>
          </w:tcPr>
          <w:p>
            <w:pPr>
              <w:spacing w:line="36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6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tcPr>
          <w:p>
            <w:r>
              <w:rPr>
                <w:rFonts w:hint="eastAsia" w:ascii="仿宋_GB2312" w:eastAsia="仿宋_GB2312"/>
                <w:szCs w:val="21"/>
              </w:rPr>
              <w:t>社会公众或服务对象调查满意度达到95%以上。</w:t>
            </w:r>
          </w:p>
        </w:tc>
        <w:tc>
          <w:tcPr>
            <w:tcW w:w="2684" w:type="dxa"/>
            <w:gridSpan w:val="6"/>
          </w:tcPr>
          <w:p>
            <w:pPr>
              <w:ind w:firstLine="1084" w:firstLineChars="450"/>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164" w:type="dxa"/>
            <w:gridSpan w:val="5"/>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164" w:type="dxa"/>
            <w:gridSpan w:val="5"/>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74" w:type="dxa"/>
            <w:gridSpan w:val="17"/>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曾婷</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局长</w:t>
            </w: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行政审批服务局</w:t>
            </w:r>
          </w:p>
        </w:tc>
        <w:tc>
          <w:tcPr>
            <w:tcW w:w="3106" w:type="dxa"/>
            <w:gridSpan w:val="8"/>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曾婷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李亚军</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行政审批服务局</w:t>
            </w:r>
          </w:p>
        </w:tc>
        <w:tc>
          <w:tcPr>
            <w:tcW w:w="3106" w:type="dxa"/>
            <w:gridSpan w:val="8"/>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李亚军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田帅</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审改股股长</w:t>
            </w: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行政审批服务局</w:t>
            </w:r>
          </w:p>
        </w:tc>
        <w:tc>
          <w:tcPr>
            <w:tcW w:w="3106" w:type="dxa"/>
            <w:gridSpan w:val="8"/>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田帅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828"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106" w:type="dxa"/>
            <w:gridSpan w:val="8"/>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0" w:hRule="atLeast"/>
          <w:jc w:val="center"/>
        </w:trPr>
        <w:tc>
          <w:tcPr>
            <w:tcW w:w="9974" w:type="dxa"/>
            <w:gridSpan w:val="17"/>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0" w:hRule="atLeast"/>
          <w:jc w:val="center"/>
        </w:trPr>
        <w:tc>
          <w:tcPr>
            <w:tcW w:w="9974" w:type="dxa"/>
            <w:gridSpan w:val="17"/>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60" w:hRule="atLeast"/>
          <w:jc w:val="center"/>
        </w:trPr>
        <w:tc>
          <w:tcPr>
            <w:tcW w:w="9974" w:type="dxa"/>
            <w:gridSpan w:val="17"/>
            <w:vAlign w:val="center"/>
          </w:tcPr>
          <w:p>
            <w:pPr>
              <w:spacing w:line="360" w:lineRule="exact"/>
              <w:rPr>
                <w:rFonts w:hint="eastAsia" w:eastAsia="仿宋_GB2312"/>
                <w:sz w:val="24"/>
              </w:rPr>
            </w:pPr>
            <w:r>
              <w:rPr>
                <w:rFonts w:hint="eastAsia" w:eastAsia="仿宋_GB2312"/>
                <w:sz w:val="24"/>
              </w:rPr>
              <w:t>财政部门归口业务股室意见：</w:t>
            </w: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hint="eastAsia" w:eastAsia="仿宋_GB2312" w:cs="仿宋_GB2312"/>
          <w:bCs/>
          <w:sz w:val="28"/>
          <w:szCs w:val="28"/>
        </w:rPr>
      </w:pPr>
      <w:r>
        <w:rPr>
          <w:rFonts w:hint="eastAsia" w:eastAsia="仿宋_GB2312" w:cs="仿宋_GB2312"/>
          <w:bCs/>
          <w:sz w:val="28"/>
          <w:szCs w:val="28"/>
        </w:rPr>
        <w:t>填报人（签名）：李红梅                      联系电话：8419717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480" w:lineRule="exact"/>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r>
              <w:rPr>
                <w:rFonts w:hint="eastAsia" w:eastAsia="仿宋_GB2312"/>
                <w:b/>
                <w:bCs/>
                <w:sz w:val="28"/>
                <w:szCs w:val="28"/>
              </w:rPr>
              <w:t>（参考提纲）</w:t>
            </w:r>
          </w:p>
          <w:p>
            <w:pPr>
              <w:spacing w:line="400" w:lineRule="exact"/>
              <w:rPr>
                <w:rFonts w:hint="eastAsia" w:ascii="仿宋_GB2312" w:hAnsi="黑体" w:eastAsia="仿宋_GB2312" w:cs="黑体"/>
                <w:bCs/>
                <w:sz w:val="24"/>
              </w:rPr>
            </w:pPr>
            <w:r>
              <w:rPr>
                <w:rFonts w:hint="eastAsia" w:ascii="仿宋_GB2312" w:hAnsi="黑体" w:eastAsia="仿宋_GB2312" w:cs="黑体"/>
                <w:bCs/>
                <w:sz w:val="24"/>
              </w:rPr>
              <w:t>一、单位概况</w:t>
            </w:r>
          </w:p>
          <w:p>
            <w:pPr>
              <w:spacing w:line="400" w:lineRule="exact"/>
              <w:ind w:firstLine="240" w:firstLineChars="100"/>
              <w:rPr>
                <w:rFonts w:hint="eastAsia" w:ascii="仿宋_GB2312" w:hAnsi="仿宋_GB2312" w:eastAsia="仿宋_GB2312" w:cs="仿宋_GB2312"/>
                <w:bCs/>
                <w:sz w:val="24"/>
              </w:rPr>
            </w:pPr>
            <w:r>
              <w:rPr>
                <w:rFonts w:hint="eastAsia" w:ascii="仿宋_GB2312" w:hAnsi="仿宋_GB2312" w:eastAsia="仿宋_GB2312" w:cs="仿宋_GB2312"/>
                <w:bCs/>
                <w:sz w:val="24"/>
              </w:rPr>
              <w:t>（一）单位基本情况:</w:t>
            </w:r>
          </w:p>
          <w:p>
            <w:pPr>
              <w:snapToGrid w:val="0"/>
              <w:spacing w:line="400" w:lineRule="exact"/>
              <w:ind w:firstLine="240" w:firstLineChars="100"/>
              <w:rPr>
                <w:rFonts w:hint="eastAsia" w:ascii="仿宋_GB2312" w:hAnsi="仿宋" w:eastAsia="仿宋_GB2312" w:cs="仿宋"/>
                <w:color w:val="000000"/>
                <w:sz w:val="24"/>
              </w:rPr>
            </w:pPr>
            <w:r>
              <w:rPr>
                <w:rFonts w:hint="eastAsia" w:ascii="仿宋_GB2312" w:hAnsi="仿宋" w:eastAsia="仿宋_GB2312" w:cs="宋体"/>
                <w:bCs/>
                <w:color w:val="000000"/>
                <w:sz w:val="24"/>
                <w:shd w:val="clear" w:color="auto" w:fill="FFFFFF"/>
              </w:rPr>
              <w:t>行政审批服务局为独立核算的</w:t>
            </w:r>
            <w:r>
              <w:rPr>
                <w:rFonts w:hint="eastAsia" w:ascii="仿宋_GB2312" w:hAnsi="仿宋" w:eastAsia="仿宋_GB2312" w:cs="宋体"/>
                <w:bCs/>
                <w:color w:val="000000"/>
                <w:sz w:val="24"/>
                <w:shd w:val="clear" w:color="auto" w:fill="FFFFFF"/>
                <w:lang w:eastAsia="zh-CN"/>
              </w:rPr>
              <w:t>行政事业</w:t>
            </w:r>
            <w:r>
              <w:rPr>
                <w:rFonts w:hint="eastAsia" w:ascii="仿宋_GB2312" w:hAnsi="仿宋" w:eastAsia="仿宋_GB2312" w:cs="宋体"/>
                <w:bCs/>
                <w:color w:val="000000"/>
                <w:sz w:val="24"/>
                <w:shd w:val="clear" w:color="auto" w:fill="FFFFFF"/>
              </w:rPr>
              <w:t>单位。</w:t>
            </w:r>
            <w:r>
              <w:rPr>
                <w:rFonts w:hint="eastAsia" w:ascii="仿宋_GB2312" w:hAnsi="仿宋" w:eastAsia="仿宋_GB2312" w:cs="仿宋"/>
                <w:color w:val="000000"/>
                <w:sz w:val="24"/>
              </w:rPr>
              <w:t>202</w:t>
            </w:r>
            <w:r>
              <w:rPr>
                <w:rFonts w:hint="eastAsia" w:ascii="仿宋_GB2312" w:hAnsi="仿宋" w:eastAsia="仿宋_GB2312" w:cs="仿宋"/>
                <w:color w:val="000000"/>
                <w:sz w:val="24"/>
                <w:lang w:val="en-US" w:eastAsia="zh-CN"/>
              </w:rPr>
              <w:t>2</w:t>
            </w:r>
            <w:r>
              <w:rPr>
                <w:rFonts w:hint="eastAsia" w:ascii="仿宋_GB2312" w:hAnsi="仿宋" w:eastAsia="仿宋_GB2312" w:cs="仿宋"/>
                <w:color w:val="000000"/>
                <w:sz w:val="24"/>
              </w:rPr>
              <w:t>年实有在职职工2</w:t>
            </w:r>
            <w:r>
              <w:rPr>
                <w:rFonts w:hint="eastAsia" w:ascii="仿宋_GB2312" w:hAnsi="仿宋" w:eastAsia="仿宋_GB2312" w:cs="仿宋"/>
                <w:color w:val="000000"/>
                <w:sz w:val="24"/>
                <w:lang w:val="en-US" w:eastAsia="zh-CN"/>
              </w:rPr>
              <w:t>3</w:t>
            </w:r>
            <w:bookmarkStart w:id="0" w:name="_GoBack"/>
            <w:bookmarkEnd w:id="0"/>
            <w:r>
              <w:rPr>
                <w:rFonts w:hint="eastAsia" w:ascii="仿宋_GB2312" w:hAnsi="仿宋" w:eastAsia="仿宋_GB2312" w:cs="仿宋"/>
                <w:color w:val="000000"/>
                <w:sz w:val="24"/>
              </w:rPr>
              <w:t>人，为公务员编制6人，事业编制</w:t>
            </w:r>
            <w:r>
              <w:rPr>
                <w:rFonts w:hint="eastAsia" w:ascii="仿宋_GB2312" w:hAnsi="仿宋" w:eastAsia="仿宋_GB2312" w:cs="仿宋"/>
                <w:color w:val="000000"/>
                <w:sz w:val="24"/>
                <w:lang w:val="en-US" w:eastAsia="zh-CN"/>
              </w:rPr>
              <w:t>7</w:t>
            </w:r>
            <w:r>
              <w:rPr>
                <w:rFonts w:hint="eastAsia" w:ascii="仿宋_GB2312" w:hAnsi="仿宋" w:eastAsia="仿宋_GB2312" w:cs="仿宋"/>
                <w:color w:val="000000"/>
                <w:sz w:val="24"/>
              </w:rPr>
              <w:t>人，辅助性岗位10人。</w:t>
            </w:r>
          </w:p>
          <w:p>
            <w:pPr>
              <w:pStyle w:val="5"/>
              <w:shd w:val="clear" w:color="auto" w:fill="FFFFFF"/>
              <w:snapToGrid w:val="0"/>
              <w:spacing w:before="0" w:beforeAutospacing="0" w:after="0" w:afterAutospacing="0" w:line="400" w:lineRule="exact"/>
              <w:ind w:firstLine="240" w:firstLineChars="100"/>
              <w:jc w:val="both"/>
              <w:rPr>
                <w:rFonts w:hint="eastAsia" w:ascii="仿宋_GB2312" w:hAnsi="仿宋_GB2312" w:eastAsia="仿宋_GB2312" w:cs="仿宋_GB2312"/>
                <w:bCs/>
                <w:szCs w:val="24"/>
              </w:rPr>
            </w:pPr>
            <w:r>
              <w:rPr>
                <w:rFonts w:hint="eastAsia" w:ascii="仿宋_GB2312" w:hAnsi="仿宋_GB2312" w:eastAsia="仿宋_GB2312" w:cs="仿宋_GB2312"/>
                <w:bCs/>
                <w:szCs w:val="24"/>
              </w:rPr>
              <w:t>（二）单位整体支出规模、使用方向和主要内容、涉及范围等</w:t>
            </w:r>
          </w:p>
          <w:p>
            <w:pPr>
              <w:pStyle w:val="5"/>
              <w:shd w:val="clear" w:color="auto" w:fill="FFFFFF"/>
              <w:snapToGrid w:val="0"/>
              <w:spacing w:before="0" w:beforeAutospacing="0" w:after="0" w:afterAutospacing="0" w:line="400" w:lineRule="exact"/>
              <w:ind w:firstLine="240" w:firstLineChars="100"/>
              <w:jc w:val="both"/>
              <w:rPr>
                <w:rFonts w:hint="eastAsia" w:ascii="仿宋_GB2312" w:hAnsi="仿宋" w:eastAsia="仿宋_GB2312" w:cs="宋体"/>
                <w:bCs/>
                <w:color w:val="000000"/>
                <w:szCs w:val="24"/>
                <w:shd w:val="clear" w:color="auto" w:fill="FFFFFF"/>
              </w:rPr>
            </w:pPr>
            <w:r>
              <w:rPr>
                <w:rFonts w:hint="eastAsia" w:ascii="仿宋_GB2312" w:hAnsi="仿宋" w:eastAsia="仿宋_GB2312" w:cs="宋体"/>
                <w:bCs/>
                <w:color w:val="000000"/>
                <w:szCs w:val="24"/>
                <w:shd w:val="clear" w:color="auto" w:fill="FFFFFF"/>
              </w:rPr>
              <w:t>本年支出合计</w:t>
            </w:r>
            <w:r>
              <w:rPr>
                <w:rFonts w:hint="eastAsia" w:ascii="仿宋_GB2312" w:hAnsi="仿宋" w:eastAsia="仿宋_GB2312" w:cs="宋体"/>
                <w:bCs/>
                <w:color w:val="000000"/>
                <w:szCs w:val="24"/>
                <w:shd w:val="clear" w:color="auto" w:fill="FFFFFF"/>
                <w:lang w:val="en-US" w:eastAsia="zh-CN"/>
              </w:rPr>
              <w:t>870.29</w:t>
            </w:r>
            <w:r>
              <w:rPr>
                <w:rFonts w:hint="eastAsia" w:ascii="仿宋_GB2312" w:hAnsi="仿宋" w:eastAsia="仿宋_GB2312" w:cs="宋体"/>
                <w:bCs/>
                <w:color w:val="000000"/>
                <w:szCs w:val="24"/>
                <w:shd w:val="clear" w:color="auto" w:fill="FFFFFF"/>
              </w:rPr>
              <w:t>万元，其中：基本支出</w:t>
            </w:r>
            <w:r>
              <w:rPr>
                <w:rFonts w:hint="eastAsia" w:ascii="仿宋_GB2312" w:hAnsi="仿宋" w:eastAsia="仿宋_GB2312" w:cs="宋体"/>
                <w:bCs/>
                <w:color w:val="000000"/>
                <w:szCs w:val="24"/>
                <w:shd w:val="clear" w:color="auto" w:fill="FFFFFF"/>
                <w:lang w:val="en-US" w:eastAsia="zh-CN"/>
              </w:rPr>
              <w:t>826.65</w:t>
            </w:r>
            <w:r>
              <w:rPr>
                <w:rFonts w:hint="eastAsia" w:ascii="仿宋_GB2312" w:hAnsi="仿宋" w:eastAsia="仿宋_GB2312" w:cs="宋体"/>
                <w:bCs/>
                <w:color w:val="000000"/>
                <w:szCs w:val="24"/>
                <w:shd w:val="clear" w:color="auto" w:fill="FFFFFF"/>
              </w:rPr>
              <w:t>万元，占本年总支出</w:t>
            </w:r>
            <w:r>
              <w:rPr>
                <w:rFonts w:hint="eastAsia" w:ascii="仿宋_GB2312" w:hAnsi="仿宋" w:eastAsia="仿宋_GB2312" w:cs="宋体"/>
                <w:bCs/>
                <w:color w:val="000000"/>
                <w:szCs w:val="24"/>
                <w:shd w:val="clear" w:color="auto" w:fill="FFFFFF"/>
                <w:lang w:val="en-US" w:eastAsia="zh-CN"/>
              </w:rPr>
              <w:t>94.9</w:t>
            </w:r>
            <w:r>
              <w:rPr>
                <w:rFonts w:hint="eastAsia" w:ascii="仿宋_GB2312" w:hAnsi="仿宋" w:eastAsia="仿宋_GB2312" w:cs="宋体"/>
                <w:bCs/>
                <w:color w:val="000000"/>
                <w:szCs w:val="24"/>
                <w:shd w:val="clear" w:color="auto" w:fill="FFFFFF"/>
              </w:rPr>
              <w:t>%。基本支出主要用于单位人员支出和公用支出。项目支出</w:t>
            </w:r>
            <w:r>
              <w:rPr>
                <w:rFonts w:hint="eastAsia" w:ascii="仿宋_GB2312" w:hAnsi="仿宋" w:eastAsia="仿宋_GB2312" w:cs="宋体"/>
                <w:bCs/>
                <w:color w:val="000000"/>
                <w:szCs w:val="24"/>
                <w:shd w:val="clear" w:color="auto" w:fill="FFFFFF"/>
                <w:lang w:val="en-US" w:eastAsia="zh-CN"/>
              </w:rPr>
              <w:t>43.64</w:t>
            </w:r>
            <w:r>
              <w:rPr>
                <w:rFonts w:hint="eastAsia" w:ascii="仿宋_GB2312" w:hAnsi="仿宋" w:eastAsia="仿宋_GB2312" w:cs="宋体"/>
                <w:bCs/>
                <w:color w:val="000000"/>
                <w:szCs w:val="24"/>
                <w:shd w:val="clear" w:color="auto" w:fill="FFFFFF"/>
              </w:rPr>
              <w:t>万元，占本年总支出</w:t>
            </w:r>
            <w:r>
              <w:rPr>
                <w:rFonts w:hint="eastAsia" w:ascii="仿宋_GB2312" w:hAnsi="仿宋" w:eastAsia="仿宋_GB2312" w:cs="宋体"/>
                <w:bCs/>
                <w:color w:val="000000"/>
                <w:szCs w:val="24"/>
                <w:shd w:val="clear" w:color="auto" w:fill="FFFFFF"/>
                <w:lang w:val="en-US" w:eastAsia="zh-CN"/>
              </w:rPr>
              <w:t>5</w:t>
            </w:r>
            <w:r>
              <w:rPr>
                <w:rFonts w:hint="eastAsia" w:ascii="仿宋_GB2312" w:hAnsi="仿宋" w:eastAsia="仿宋_GB2312" w:cs="宋体"/>
                <w:bCs/>
                <w:color w:val="000000"/>
                <w:szCs w:val="24"/>
                <w:shd w:val="clear" w:color="auto" w:fill="FFFFFF"/>
              </w:rPr>
              <w:t>%。用于</w:t>
            </w:r>
            <w:r>
              <w:rPr>
                <w:rFonts w:hint="eastAsia" w:ascii="仿宋_GB2312" w:hAnsi="仿宋" w:eastAsia="仿宋_GB2312" w:cs="宋体"/>
                <w:bCs/>
                <w:color w:val="000000"/>
                <w:szCs w:val="24"/>
                <w:shd w:val="clear" w:color="auto" w:fill="FFFFFF"/>
                <w:lang w:eastAsia="zh-CN"/>
              </w:rPr>
              <w:t>政务大厅升级改造</w:t>
            </w:r>
            <w:r>
              <w:rPr>
                <w:rFonts w:hint="eastAsia" w:ascii="仿宋_GB2312" w:hAnsi="仿宋" w:eastAsia="仿宋_GB2312" w:cs="宋体"/>
                <w:bCs/>
                <w:color w:val="000000"/>
                <w:szCs w:val="24"/>
                <w:shd w:val="clear" w:color="auto" w:fill="FFFFFF"/>
              </w:rPr>
              <w:t>及一门式全覆盖工作。</w:t>
            </w:r>
          </w:p>
          <w:p>
            <w:pPr>
              <w:spacing w:line="400" w:lineRule="exact"/>
              <w:ind w:firstLine="240" w:firstLineChars="100"/>
              <w:rPr>
                <w:rFonts w:hint="eastAsia" w:ascii="仿宋_GB2312" w:hAnsi="黑体" w:eastAsia="仿宋_GB2312" w:cs="黑体"/>
                <w:bCs/>
                <w:sz w:val="24"/>
              </w:rPr>
            </w:pPr>
            <w:r>
              <w:rPr>
                <w:rFonts w:hint="eastAsia" w:ascii="仿宋_GB2312" w:hAnsi="黑体" w:eastAsia="仿宋_GB2312" w:cs="黑体"/>
                <w:bCs/>
                <w:sz w:val="24"/>
              </w:rPr>
              <w:t>二、部门（单位）整体支出管理及使用情况</w:t>
            </w:r>
          </w:p>
          <w:p>
            <w:pPr>
              <w:snapToGrid w:val="0"/>
              <w:spacing w:line="400" w:lineRule="exact"/>
              <w:ind w:firstLine="240" w:firstLineChars="100"/>
              <w:rPr>
                <w:rFonts w:hint="eastAsia" w:ascii="仿宋_GB2312" w:hAnsi="仿宋_GB2312" w:eastAsia="仿宋_GB2312" w:cs="仿宋_GB2312"/>
                <w:bCs/>
                <w:sz w:val="24"/>
              </w:rPr>
            </w:pPr>
            <w:r>
              <w:rPr>
                <w:rFonts w:hint="eastAsia" w:ascii="仿宋_GB2312" w:hAnsi="仿宋_GB2312" w:eastAsia="仿宋_GB2312" w:cs="仿宋_GB2312"/>
                <w:bCs/>
                <w:sz w:val="24"/>
              </w:rPr>
              <w:t>（一）基本支出</w:t>
            </w:r>
            <w:r>
              <w:rPr>
                <w:rFonts w:hint="eastAsia" w:ascii="仿宋_GB2312" w:hAnsi="仿宋_GB2312" w:eastAsia="仿宋_GB2312" w:cs="仿宋_GB2312"/>
                <w:bCs/>
                <w:sz w:val="24"/>
                <w:lang w:val="en-US" w:eastAsia="zh-CN"/>
              </w:rPr>
              <w:t>870.29</w:t>
            </w:r>
            <w:r>
              <w:rPr>
                <w:rFonts w:hint="eastAsia" w:ascii="仿宋_GB2312" w:hAnsi="仿宋_GB2312" w:eastAsia="仿宋_GB2312" w:cs="仿宋_GB2312"/>
                <w:bCs/>
                <w:sz w:val="24"/>
              </w:rPr>
              <w:t>万，其中人员支出3</w:t>
            </w:r>
            <w:r>
              <w:rPr>
                <w:rFonts w:hint="eastAsia" w:ascii="仿宋_GB2312" w:hAnsi="仿宋_GB2312" w:eastAsia="仿宋_GB2312" w:cs="仿宋_GB2312"/>
                <w:bCs/>
                <w:sz w:val="24"/>
                <w:lang w:val="en-US" w:eastAsia="zh-CN"/>
              </w:rPr>
              <w:t>30.01</w:t>
            </w:r>
            <w:r>
              <w:rPr>
                <w:rFonts w:hint="eastAsia" w:ascii="仿宋_GB2312" w:hAnsi="仿宋_GB2312" w:eastAsia="仿宋_GB2312" w:cs="仿宋_GB2312"/>
                <w:bCs/>
                <w:sz w:val="24"/>
              </w:rPr>
              <w:t>万</w:t>
            </w:r>
            <w:r>
              <w:rPr>
                <w:rFonts w:hint="eastAsia" w:ascii="仿宋_GB2312" w:hAnsi="仿宋_GB2312" w:eastAsia="仿宋_GB2312" w:cs="仿宋_GB2312"/>
                <w:bCs/>
                <w:sz w:val="24"/>
                <w:lang w:eastAsia="zh-CN"/>
              </w:rPr>
              <w:t>元</w:t>
            </w:r>
            <w:r>
              <w:rPr>
                <w:rFonts w:hint="eastAsia" w:ascii="仿宋_GB2312" w:hAnsi="仿宋_GB2312" w:eastAsia="仿宋_GB2312" w:cs="仿宋_GB2312"/>
                <w:bCs/>
                <w:sz w:val="24"/>
              </w:rPr>
              <w:t>，一般商品和服务支出</w:t>
            </w:r>
            <w:r>
              <w:rPr>
                <w:rFonts w:hint="eastAsia" w:ascii="仿宋_GB2312" w:hAnsi="仿宋_GB2312" w:eastAsia="仿宋_GB2312" w:cs="仿宋_GB2312"/>
                <w:bCs/>
                <w:sz w:val="24"/>
                <w:lang w:val="en-US" w:eastAsia="zh-CN"/>
              </w:rPr>
              <w:t>496.64</w:t>
            </w:r>
            <w:r>
              <w:rPr>
                <w:rFonts w:hint="eastAsia" w:ascii="仿宋_GB2312" w:hAnsi="仿宋_GB2312" w:eastAsia="仿宋_GB2312" w:cs="仿宋_GB2312"/>
                <w:bCs/>
                <w:sz w:val="24"/>
              </w:rPr>
              <w:t>万</w:t>
            </w:r>
            <w:r>
              <w:rPr>
                <w:rFonts w:hint="eastAsia" w:ascii="仿宋_GB2312" w:hAnsi="仿宋_GB2312" w:eastAsia="仿宋_GB2312" w:cs="仿宋_GB2312"/>
                <w:bCs/>
                <w:sz w:val="24"/>
                <w:lang w:eastAsia="zh-CN"/>
              </w:rPr>
              <w:t>元</w:t>
            </w:r>
            <w:r>
              <w:rPr>
                <w:rFonts w:hint="eastAsia" w:ascii="仿宋_GB2312" w:hAnsi="仿宋_GB2312" w:eastAsia="仿宋_GB2312" w:cs="仿宋_GB2312"/>
                <w:bCs/>
                <w:sz w:val="24"/>
              </w:rPr>
              <w:t>。</w:t>
            </w:r>
          </w:p>
          <w:p>
            <w:pPr>
              <w:pStyle w:val="5"/>
              <w:shd w:val="clear" w:color="auto" w:fill="FFFFFF"/>
              <w:snapToGrid w:val="0"/>
              <w:spacing w:before="0" w:beforeAutospacing="0" w:after="0" w:afterAutospacing="0" w:line="400" w:lineRule="exact"/>
              <w:ind w:firstLine="240" w:firstLineChars="100"/>
              <w:jc w:val="both"/>
              <w:rPr>
                <w:rFonts w:hint="eastAsia" w:ascii="仿宋_GB2312" w:hAnsi="仿宋" w:eastAsia="仿宋_GB2312" w:cs="宋体"/>
                <w:bCs/>
                <w:color w:val="000000"/>
                <w:szCs w:val="24"/>
                <w:shd w:val="clear" w:color="auto" w:fill="FFFFFF"/>
              </w:rPr>
            </w:pPr>
            <w:r>
              <w:rPr>
                <w:rFonts w:hint="eastAsia" w:ascii="仿宋_GB2312" w:hAnsi="仿宋_GB2312" w:eastAsia="仿宋_GB2312" w:cs="仿宋_GB2312"/>
                <w:bCs/>
                <w:sz w:val="24"/>
              </w:rPr>
              <w:t>（二）项目支出</w:t>
            </w:r>
            <w:r>
              <w:rPr>
                <w:rFonts w:hint="eastAsia" w:ascii="仿宋_GB2312" w:hAnsi="仿宋_GB2312" w:eastAsia="仿宋_GB2312" w:cs="仿宋_GB2312"/>
                <w:bCs/>
                <w:sz w:val="24"/>
                <w:lang w:val="en-US" w:eastAsia="zh-CN"/>
              </w:rPr>
              <w:t>43.64万元</w:t>
            </w:r>
            <w:r>
              <w:rPr>
                <w:rFonts w:hint="eastAsia" w:ascii="仿宋_GB2312" w:hAnsi="仿宋_GB2312" w:eastAsia="仿宋_GB2312" w:cs="仿宋_GB2312"/>
                <w:bCs/>
                <w:sz w:val="24"/>
              </w:rPr>
              <w:t>，</w:t>
            </w:r>
            <w:r>
              <w:rPr>
                <w:rFonts w:hint="eastAsia" w:ascii="仿宋_GB2312" w:hAnsi="仿宋" w:eastAsia="仿宋_GB2312" w:cs="宋体"/>
                <w:bCs/>
                <w:color w:val="000000"/>
                <w:sz w:val="24"/>
                <w:shd w:val="clear" w:color="auto" w:fill="FFFFFF"/>
              </w:rPr>
              <w:t>用于</w:t>
            </w:r>
            <w:r>
              <w:rPr>
                <w:rFonts w:hint="eastAsia" w:ascii="仿宋_GB2312" w:hAnsi="仿宋" w:eastAsia="仿宋_GB2312" w:cs="宋体"/>
                <w:bCs/>
                <w:color w:val="000000"/>
                <w:szCs w:val="24"/>
                <w:shd w:val="clear" w:color="auto" w:fill="FFFFFF"/>
                <w:lang w:eastAsia="zh-CN"/>
              </w:rPr>
              <w:t>政务大厅升级改造</w:t>
            </w:r>
            <w:r>
              <w:rPr>
                <w:rFonts w:hint="eastAsia" w:ascii="仿宋_GB2312" w:hAnsi="仿宋" w:eastAsia="仿宋_GB2312" w:cs="宋体"/>
                <w:bCs/>
                <w:color w:val="000000"/>
                <w:szCs w:val="24"/>
                <w:shd w:val="clear" w:color="auto" w:fill="FFFFFF"/>
              </w:rPr>
              <w:t>及一门式全覆盖工作。</w:t>
            </w:r>
          </w:p>
          <w:p>
            <w:pPr>
              <w:snapToGrid w:val="0"/>
              <w:spacing w:line="400" w:lineRule="exact"/>
              <w:ind w:firstLine="240" w:firstLineChars="100"/>
              <w:rPr>
                <w:rFonts w:hint="eastAsia" w:ascii="仿宋_GB2312" w:eastAsia="仿宋_GB2312"/>
                <w:bCs/>
                <w:color w:val="000000"/>
                <w:sz w:val="24"/>
              </w:rPr>
            </w:pPr>
            <w:r>
              <w:rPr>
                <w:rFonts w:hint="eastAsia" w:ascii="仿宋_GB2312" w:eastAsia="仿宋_GB2312"/>
                <w:bCs/>
                <w:color w:val="000000"/>
                <w:sz w:val="24"/>
              </w:rPr>
              <w:t>在资金使用过程中，我们严格按照区财政工作要求，建立健全单位财务管理制度，管理使用好财政资金，单位1000元（含）以上的资金使用必须报单位主要负责人审核，大额资金的使用必须经班子会议研究决定，做到按计划使用资金，节约使用资金，重点保障大厅正常运行，无浪费行为，无挤占挪用或套取资金等现象。</w:t>
            </w:r>
          </w:p>
          <w:p>
            <w:pPr>
              <w:spacing w:line="400" w:lineRule="exact"/>
              <w:rPr>
                <w:rFonts w:hint="eastAsia" w:ascii="仿宋_GB2312" w:hAnsi="黑体" w:eastAsia="仿宋_GB2312" w:cs="黑体"/>
                <w:bCs/>
                <w:sz w:val="24"/>
              </w:rPr>
            </w:pPr>
            <w:r>
              <w:rPr>
                <w:rFonts w:hint="eastAsia" w:ascii="仿宋_GB2312" w:hAnsi="黑体" w:eastAsia="仿宋_GB2312" w:cs="黑体"/>
                <w:bCs/>
                <w:sz w:val="24"/>
              </w:rPr>
              <w:t>三、部门（单位）专项组织实施情况</w:t>
            </w:r>
          </w:p>
          <w:p>
            <w:pPr>
              <w:snapToGrid w:val="0"/>
              <w:spacing w:line="400" w:lineRule="exact"/>
              <w:ind w:firstLine="240" w:firstLineChars="100"/>
              <w:rPr>
                <w:rFonts w:hint="eastAsia" w:ascii="仿宋_GB2312" w:hAnsi="仿宋_GB2312" w:eastAsia="仿宋_GB2312" w:cs="仿宋_GB2312"/>
                <w:bCs/>
                <w:sz w:val="24"/>
              </w:rPr>
            </w:pPr>
            <w:r>
              <w:rPr>
                <w:rFonts w:hint="eastAsia" w:ascii="仿宋_GB2312" w:hAnsi="仿宋_GB2312" w:eastAsia="仿宋_GB2312" w:cs="仿宋_GB2312"/>
                <w:bCs/>
                <w:sz w:val="24"/>
              </w:rPr>
              <w:t>（一）专项组织情况分析</w:t>
            </w:r>
          </w:p>
          <w:p>
            <w:pPr>
              <w:snapToGrid w:val="0"/>
              <w:spacing w:line="400" w:lineRule="exact"/>
              <w:ind w:firstLine="240" w:firstLineChars="100"/>
              <w:rPr>
                <w:rFonts w:hint="eastAsia" w:ascii="仿宋_GB2312" w:hAnsi="仿宋_GB2312" w:eastAsia="仿宋_GB2312" w:cs="仿宋_GB2312"/>
                <w:bCs/>
                <w:sz w:val="24"/>
              </w:rPr>
            </w:pPr>
            <w:r>
              <w:rPr>
                <w:rFonts w:hint="eastAsia" w:ascii="仿宋_GB2312" w:hAnsi="仿宋_GB2312" w:eastAsia="仿宋_GB2312" w:cs="仿宋_GB2312"/>
                <w:bCs/>
                <w:sz w:val="24"/>
              </w:rPr>
              <w:t>我单位制订了财务管理制度，成立了财务领导小组，对资金使用严格管理。</w:t>
            </w:r>
          </w:p>
          <w:p>
            <w:pPr>
              <w:snapToGrid w:val="0"/>
              <w:spacing w:line="400" w:lineRule="exact"/>
              <w:ind w:firstLine="240" w:firstLineChars="100"/>
              <w:rPr>
                <w:rFonts w:hint="eastAsia" w:ascii="仿宋_GB2312" w:hAnsi="仿宋_GB2312" w:eastAsia="仿宋_GB2312" w:cs="仿宋_GB2312"/>
                <w:bCs/>
                <w:sz w:val="24"/>
              </w:rPr>
            </w:pPr>
            <w:r>
              <w:rPr>
                <w:rFonts w:hint="eastAsia" w:ascii="仿宋_GB2312" w:hAnsi="仿宋_GB2312" w:eastAsia="仿宋_GB2312" w:cs="仿宋_GB2312"/>
                <w:bCs/>
                <w:sz w:val="24"/>
              </w:rPr>
              <w:t>（二）专项管理情况分析</w:t>
            </w:r>
          </w:p>
          <w:p>
            <w:pPr>
              <w:snapToGrid w:val="0"/>
              <w:spacing w:line="400" w:lineRule="exact"/>
              <w:ind w:firstLine="240" w:firstLineChars="100"/>
              <w:rPr>
                <w:rFonts w:hint="eastAsia" w:ascii="仿宋_GB2312" w:hAnsi="仿宋_GB2312" w:eastAsia="仿宋_GB2312" w:cs="仿宋_GB2312"/>
                <w:bCs/>
                <w:sz w:val="24"/>
              </w:rPr>
            </w:pPr>
            <w:r>
              <w:rPr>
                <w:rFonts w:hint="eastAsia" w:ascii="仿宋_GB2312" w:hAnsi="仿宋_GB2312" w:eastAsia="仿宋_GB2312" w:cs="仿宋_GB2312"/>
                <w:bCs/>
                <w:sz w:val="24"/>
              </w:rPr>
              <w:t>专项资金专项使用，我挪用及套取资金情况。</w:t>
            </w:r>
          </w:p>
          <w:p>
            <w:pPr>
              <w:spacing w:line="400" w:lineRule="exact"/>
              <w:ind w:firstLine="240" w:firstLineChars="100"/>
              <w:rPr>
                <w:rFonts w:hint="eastAsia" w:ascii="仿宋_GB2312" w:hAnsi="黑体" w:eastAsia="仿宋_GB2312" w:cs="黑体"/>
                <w:bCs/>
                <w:sz w:val="24"/>
              </w:rPr>
            </w:pPr>
            <w:r>
              <w:rPr>
                <w:rFonts w:hint="eastAsia" w:ascii="仿宋_GB2312" w:hAnsi="黑体" w:eastAsia="仿宋_GB2312" w:cs="黑体"/>
                <w:bCs/>
                <w:sz w:val="24"/>
              </w:rPr>
              <w:t>四、部门（单位）整体支出绩效情况</w:t>
            </w:r>
          </w:p>
          <w:p>
            <w:pPr>
              <w:snapToGrid w:val="0"/>
              <w:spacing w:line="400" w:lineRule="exact"/>
              <w:ind w:firstLine="240" w:firstLineChars="100"/>
              <w:rPr>
                <w:rFonts w:hint="eastAsia" w:ascii="仿宋_GB2312" w:hAnsi="宋体" w:eastAsia="仿宋_GB2312" w:cs="宋体"/>
                <w:bCs/>
                <w:color w:val="333333"/>
                <w:sz w:val="24"/>
                <w:shd w:val="clear" w:color="auto" w:fill="FFFFFF"/>
              </w:rPr>
            </w:pPr>
            <w:r>
              <w:rPr>
                <w:rFonts w:hint="eastAsia" w:ascii="仿宋_GB2312" w:hAnsi="宋体" w:eastAsia="仿宋_GB2312" w:cs="宋体"/>
                <w:bCs/>
                <w:sz w:val="24"/>
                <w:lang w:val="en-US" w:eastAsia="zh-CN"/>
              </w:rPr>
              <w:t>2022</w:t>
            </w:r>
            <w:r>
              <w:rPr>
                <w:rFonts w:hint="eastAsia" w:ascii="仿宋_GB2312" w:hAnsi="宋体" w:eastAsia="仿宋_GB2312" w:cs="宋体"/>
                <w:bCs/>
                <w:sz w:val="24"/>
              </w:rPr>
              <w:t>年，我单位较好的完成了预算编制时提出的绩效目标，保障了政务大厅的正常运行，为办事群众和企业提供了优质服务，有效确保了社会发展的安全稳定。</w:t>
            </w:r>
          </w:p>
          <w:p>
            <w:pPr>
              <w:spacing w:line="400" w:lineRule="exact"/>
              <w:ind w:firstLine="240" w:firstLineChars="100"/>
              <w:rPr>
                <w:rFonts w:hint="eastAsia" w:ascii="仿宋_GB2312" w:hAnsi="黑体" w:eastAsia="仿宋_GB2312" w:cs="黑体"/>
                <w:bCs/>
                <w:sz w:val="24"/>
              </w:rPr>
            </w:pPr>
            <w:r>
              <w:rPr>
                <w:rFonts w:hint="eastAsia" w:ascii="仿宋_GB2312" w:hAnsi="黑体" w:eastAsia="仿宋_GB2312" w:cs="黑体"/>
                <w:bCs/>
                <w:sz w:val="24"/>
              </w:rPr>
              <w:t>五、存在的主要问题</w:t>
            </w:r>
          </w:p>
          <w:p>
            <w:pPr>
              <w:spacing w:line="400" w:lineRule="exact"/>
              <w:ind w:firstLine="240" w:firstLineChars="100"/>
              <w:rPr>
                <w:rFonts w:hint="eastAsia" w:ascii="仿宋_GB2312" w:hAnsi="黑体" w:eastAsia="仿宋_GB2312" w:cs="黑体"/>
                <w:bCs/>
                <w:sz w:val="24"/>
                <w:lang w:eastAsia="zh-CN"/>
              </w:rPr>
            </w:pPr>
            <w:r>
              <w:rPr>
                <w:rFonts w:hint="eastAsia" w:ascii="仿宋_GB2312" w:hAnsi="黑体" w:eastAsia="仿宋_GB2312" w:cs="黑体"/>
                <w:bCs/>
                <w:sz w:val="24"/>
                <w:lang w:eastAsia="zh-CN"/>
              </w:rPr>
              <w:t>预算资金使用范围</w:t>
            </w:r>
          </w:p>
          <w:p>
            <w:pPr>
              <w:spacing w:line="400" w:lineRule="exact"/>
              <w:ind w:firstLine="240" w:firstLineChars="100"/>
              <w:rPr>
                <w:rFonts w:hint="eastAsia" w:ascii="仿宋_GB2312" w:hAnsi="黑体" w:eastAsia="仿宋_GB2312" w:cs="黑体"/>
                <w:bCs/>
                <w:sz w:val="24"/>
              </w:rPr>
            </w:pPr>
            <w:r>
              <w:rPr>
                <w:rFonts w:hint="eastAsia" w:ascii="仿宋_GB2312" w:hAnsi="黑体" w:eastAsia="仿宋_GB2312" w:cs="黑体"/>
                <w:bCs/>
                <w:sz w:val="24"/>
              </w:rPr>
              <w:t>六、改进措施和有关建议</w:t>
            </w:r>
          </w:p>
          <w:p>
            <w:pPr>
              <w:spacing w:line="400" w:lineRule="exact"/>
              <w:ind w:firstLine="240" w:firstLineChars="100"/>
              <w:rPr>
                <w:rFonts w:hint="eastAsia" w:ascii="仿宋_GB2312" w:hAnsi="黑体" w:eastAsia="仿宋_GB2312" w:cs="黑体"/>
                <w:bCs/>
                <w:sz w:val="24"/>
              </w:rPr>
            </w:pPr>
            <w:r>
              <w:rPr>
                <w:rFonts w:hint="eastAsia" w:ascii="仿宋_GB2312" w:hAnsi="黑体" w:eastAsia="仿宋_GB2312" w:cs="黑体"/>
                <w:bCs/>
                <w:sz w:val="24"/>
              </w:rPr>
              <w:t>无</w:t>
            </w:r>
          </w:p>
          <w:p>
            <w:pPr>
              <w:spacing w:line="480" w:lineRule="exact"/>
              <w:ind w:firstLine="560" w:firstLineChars="200"/>
              <w:jc w:val="left"/>
              <w:rPr>
                <w:rFonts w:ascii="黑体" w:hAnsi="黑体" w:eastAsia="黑体" w:cs="黑体"/>
                <w:bCs/>
                <w:sz w:val="28"/>
                <w:szCs w:val="28"/>
              </w:rPr>
            </w:pPr>
          </w:p>
        </w:tc>
      </w:tr>
    </w:tbl>
    <w:p>
      <w:pPr>
        <w:spacing w:line="540" w:lineRule="exact"/>
        <w:rPr>
          <w:rFonts w:hint="eastAsia" w:eastAsia="仿宋_GB2312"/>
          <w:sz w:val="28"/>
          <w:szCs w:val="28"/>
        </w:rPr>
      </w:pPr>
      <w:r>
        <w:rPr>
          <w:rFonts w:hint="eastAsia" w:ascii="黑体" w:hAnsi="黑体" w:eastAsia="黑体"/>
          <w:sz w:val="32"/>
          <w:szCs w:val="32"/>
        </w:rPr>
        <w:t>附件3-1</w:t>
      </w:r>
    </w:p>
    <w:p>
      <w:pPr>
        <w:spacing w:line="420" w:lineRule="exact"/>
        <w:rPr>
          <w:rFonts w:hint="eastAsia" w:ascii="黑体" w:hAnsi="黑体" w:eastAsia="黑体"/>
          <w:sz w:val="32"/>
          <w:szCs w:val="32"/>
        </w:rPr>
      </w:pPr>
    </w:p>
    <w:p>
      <w:pPr>
        <w:spacing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9835" w:type="dxa"/>
        <w:jc w:val="center"/>
        <w:tblLayout w:type="fixed"/>
        <w:tblCellMar>
          <w:top w:w="0" w:type="dxa"/>
          <w:left w:w="108" w:type="dxa"/>
          <w:bottom w:w="0" w:type="dxa"/>
          <w:right w:w="108" w:type="dxa"/>
        </w:tblCellMar>
      </w:tblPr>
      <w:tblGrid>
        <w:gridCol w:w="976"/>
        <w:gridCol w:w="939"/>
        <w:gridCol w:w="1345"/>
        <w:gridCol w:w="4215"/>
        <w:gridCol w:w="582"/>
        <w:gridCol w:w="658"/>
        <w:gridCol w:w="112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5"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5"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582"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58"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20"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20"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20"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20"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2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38"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⑤资金使用无截留、挤占、挪用、虚列支出等情况。</w:t>
            </w:r>
            <w:r>
              <w:rPr>
                <w:rFonts w:hint="eastAsia" w:ascii="仿宋_GB2312" w:hAnsi="宋体" w:eastAsia="仿宋_GB2312" w:cs="宋体"/>
                <w:kern w:val="0"/>
                <w:sz w:val="18"/>
                <w:szCs w:val="18"/>
              </w:rPr>
              <w:br w:type="textWrapping"/>
            </w:r>
            <w:r>
              <w:rPr>
                <w:rFonts w:hint="eastAsia" w:ascii="仿宋_GB2312" w:hAnsi="宋体" w:eastAsia="仿宋_GB2312" w:cs="宋体"/>
                <w:spacing w:val="-4"/>
                <w:kern w:val="0"/>
                <w:sz w:val="18"/>
                <w:szCs w:val="18"/>
              </w:rPr>
              <w:t>以上情况每出现一例不符合要求的扣1分，扣完为止。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8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bl>
    <w:p>
      <w:pPr>
        <w:spacing w:line="14" w:lineRule="exact"/>
      </w:pPr>
    </w:p>
    <w:tbl>
      <w:tblPr>
        <w:tblStyle w:val="6"/>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1"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3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6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1"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2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16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关于做好岳阳市云溪区2021年度综合绩效考核工作的通知》）考核内容设置。</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219" w:type="dxa"/>
            <w:tcBorders>
              <w:top w:val="nil"/>
              <w:left w:val="nil"/>
              <w:bottom w:val="single" w:color="auto" w:sz="4" w:space="0"/>
              <w:right w:val="single" w:color="auto" w:sz="4" w:space="0"/>
            </w:tcBorders>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c>
          <w:tcPr>
            <w:tcW w:w="1341"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c>
          <w:tcPr>
            <w:tcW w:w="42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3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16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r>
    </w:tbl>
    <w:p>
      <w:pPr>
        <w:spacing w:line="38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460" w:lineRule="exact"/>
        <w:rPr>
          <w:rFonts w:hint="eastAsia" w:ascii="仿宋_GB2312" w:eastAsia="仿宋_GB2312"/>
        </w:rPr>
      </w:pPr>
      <w:r>
        <w:rPr>
          <w:rFonts w:ascii="黑体" w:hAnsi="黑体" w:eastAsia="黑体"/>
          <w:sz w:val="32"/>
          <w:szCs w:val="32"/>
        </w:rPr>
        <w:br w:type="page"/>
      </w:r>
    </w:p>
    <w:p>
      <w:pPr>
        <w:adjustRightInd w:val="0"/>
        <w:snapToGrid w:val="0"/>
        <w:spacing w:line="600" w:lineRule="exact"/>
        <w:contextualSpacing/>
        <w:rPr>
          <w:rFonts w:hint="eastAsia" w:ascii="黑体" w:hAnsi="宋体" w:eastAsia="黑体" w:cs="黑体"/>
          <w:color w:val="000000"/>
          <w:kern w:val="0"/>
          <w:sz w:val="32"/>
          <w:szCs w:val="32"/>
        </w:rPr>
      </w:pPr>
      <w:r>
        <w:rPr>
          <w:rFonts w:ascii="仿宋_GB2312" w:eastAsia="仿宋_GB2312"/>
        </w:rPr>
        <w:br w:type="page"/>
      </w:r>
      <w:r>
        <w:rPr>
          <w:rFonts w:hint="eastAsia" w:ascii="黑体" w:hAnsi="宋体" w:eastAsia="黑体" w:cs="黑体"/>
          <w:color w:val="000000"/>
          <w:kern w:val="0"/>
          <w:sz w:val="32"/>
          <w:szCs w:val="32"/>
        </w:rPr>
        <w:t>附表4</w:t>
      </w:r>
    </w:p>
    <w:p>
      <w:pPr>
        <w:adjustRightInd w:val="0"/>
        <w:snapToGrid w:val="0"/>
        <w:spacing w:line="600" w:lineRule="exact"/>
        <w:contextualSpacing/>
        <w:rPr>
          <w:rFonts w:hint="eastAsia" w:ascii="黑体" w:hAnsi="宋体" w:eastAsia="黑体" w:cs="黑体"/>
          <w:color w:val="000000"/>
          <w:kern w:val="0"/>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绩效评价结果征求意见的反馈函</w:t>
      </w:r>
    </w:p>
    <w:p>
      <w:pPr>
        <w:spacing w:line="600" w:lineRule="exact"/>
        <w:jc w:val="center"/>
        <w:rPr>
          <w:rFonts w:hint="eastAsia" w:ascii="楷体_GB2312" w:hAnsi="楷体" w:eastAsia="楷体_GB2312" w:cs="楷体"/>
          <w:sz w:val="32"/>
          <w:szCs w:val="32"/>
        </w:rPr>
      </w:pPr>
      <w:r>
        <w:rPr>
          <w:rFonts w:hint="eastAsia" w:ascii="楷体_GB2312" w:hAnsi="楷体" w:eastAsia="楷体_GB2312" w:cs="楷体"/>
          <w:sz w:val="32"/>
          <w:szCs w:val="32"/>
        </w:rPr>
        <w:t>（重点绩效评价项目用）</w:t>
      </w:r>
    </w:p>
    <w:p>
      <w:pPr>
        <w:spacing w:line="600" w:lineRule="exact"/>
        <w:jc w:val="center"/>
        <w:rPr>
          <w:rFonts w:hint="eastAsia" w:ascii="楷体_GB2312" w:hAnsi="楷体" w:eastAsia="楷体_GB2312" w:cs="楷体"/>
          <w:sz w:val="32"/>
          <w:szCs w:val="32"/>
        </w:rPr>
      </w:pPr>
    </w:p>
    <w:p>
      <w:pPr>
        <w:spacing w:line="600" w:lineRule="exac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pPr>
        <w:spacing w:line="600" w:lineRule="exact"/>
        <w:ind w:firstLine="640" w:firstLineChars="200"/>
        <w:rPr>
          <w:rFonts w:hint="eastAsia" w:eastAsia="仿宋_GB2312"/>
          <w:sz w:val="32"/>
          <w:szCs w:val="32"/>
        </w:rPr>
      </w:pPr>
      <w:r>
        <w:rPr>
          <w:rFonts w:eastAsia="仿宋_GB2312"/>
          <w:sz w:val="32"/>
          <w:szCs w:val="32"/>
        </w:rPr>
        <w:t xml:space="preserve">按照相关规定和绩效评价要求，根据贵单位的绩效自评报告和绩效评价工作组的现场评价情况，形成绩效评价报告。现将《×××绩效评价报告》反馈贵单位，请于  </w:t>
      </w:r>
      <w:r>
        <w:rPr>
          <w:rFonts w:hint="eastAsia" w:eastAsia="仿宋_GB2312"/>
          <w:sz w:val="32"/>
          <w:szCs w:val="32"/>
        </w:rPr>
        <w:t xml:space="preserve"> </w:t>
      </w:r>
      <w:r>
        <w:rPr>
          <w:rFonts w:eastAsia="仿宋_GB2312"/>
          <w:sz w:val="32"/>
          <w:szCs w:val="32"/>
        </w:rPr>
        <w:t xml:space="preserve">  年   月   日前提出书面意见或说明，逾期未复，视为无异议。</w:t>
      </w:r>
    </w:p>
    <w:p>
      <w:pPr>
        <w:spacing w:line="200" w:lineRule="exact"/>
        <w:ind w:firstLine="640" w:firstLineChars="200"/>
        <w:rPr>
          <w:rFonts w:hint="eastAsia" w:eastAsia="仿宋_GB2312"/>
          <w:sz w:val="32"/>
          <w:szCs w:val="32"/>
        </w:rPr>
      </w:pPr>
    </w:p>
    <w:tbl>
      <w:tblPr>
        <w:tblStyle w:val="6"/>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2" w:type="dxa"/>
            <w:vAlign w:val="center"/>
          </w:tcPr>
          <w:p>
            <w:pPr>
              <w:spacing w:line="360" w:lineRule="exact"/>
              <w:ind w:firstLine="561"/>
              <w:jc w:val="center"/>
              <w:rPr>
                <w:rFonts w:ascii="黑体" w:hAnsi="黑体" w:eastAsia="黑体"/>
                <w:sz w:val="28"/>
                <w:szCs w:val="28"/>
              </w:rPr>
            </w:pPr>
            <w:r>
              <w:rPr>
                <w:rFonts w:ascii="黑体" w:hAnsi="黑体" w:eastAsia="黑体"/>
                <w:sz w:val="28"/>
                <w:szCs w:val="28"/>
              </w:rPr>
              <w:t>项目实施单位意见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1" w:hRule="atLeast"/>
          <w:jc w:val="center"/>
        </w:trPr>
        <w:tc>
          <w:tcPr>
            <w:tcW w:w="9162" w:type="dxa"/>
          </w:tcPr>
          <w:p>
            <w:pPr>
              <w:spacing w:line="540" w:lineRule="exact"/>
              <w:ind w:firstLine="140" w:firstLineChars="50"/>
              <w:rPr>
                <w:rFonts w:eastAsia="黑体"/>
                <w:sz w:val="28"/>
                <w:szCs w:val="28"/>
              </w:rPr>
            </w:pPr>
            <w:r>
              <w:rPr>
                <w:rFonts w:eastAsia="黑体"/>
                <w:sz w:val="28"/>
                <w:szCs w:val="28"/>
              </w:rPr>
              <w:t>一、对报告中“评价结论”的意见</w:t>
            </w: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二、对报告中“问题”和“建议”的意见</w:t>
            </w:r>
          </w:p>
          <w:p>
            <w:pPr>
              <w:spacing w:line="540" w:lineRule="exact"/>
              <w:ind w:firstLine="560"/>
              <w:rPr>
                <w:sz w:val="28"/>
                <w:szCs w:val="28"/>
              </w:rPr>
            </w:pP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三、其它意见或建议</w:t>
            </w:r>
          </w:p>
          <w:p>
            <w:pPr>
              <w:spacing w:line="540" w:lineRule="exact"/>
              <w:ind w:firstLine="560"/>
              <w:rPr>
                <w:sz w:val="28"/>
                <w:szCs w:val="28"/>
              </w:rPr>
            </w:pPr>
          </w:p>
          <w:p>
            <w:pPr>
              <w:spacing w:line="540" w:lineRule="exact"/>
              <w:ind w:firstLine="560"/>
              <w:rPr>
                <w:sz w:val="28"/>
                <w:szCs w:val="28"/>
              </w:rPr>
            </w:pPr>
          </w:p>
          <w:p>
            <w:pPr>
              <w:spacing w:line="540" w:lineRule="exact"/>
              <w:ind w:right="1280"/>
              <w:jc w:val="right"/>
              <w:rPr>
                <w:rFonts w:eastAsia="仿宋_GB2312"/>
                <w:sz w:val="28"/>
                <w:szCs w:val="28"/>
              </w:rPr>
            </w:pPr>
            <w:r>
              <w:rPr>
                <w:rFonts w:eastAsia="仿宋_GB2312"/>
                <w:sz w:val="28"/>
                <w:szCs w:val="28"/>
              </w:rPr>
              <w:t>单位（盖章）</w:t>
            </w:r>
          </w:p>
          <w:p>
            <w:pPr>
              <w:spacing w:line="540" w:lineRule="exact"/>
              <w:ind w:right="860"/>
              <w:jc w:val="right"/>
              <w:rPr>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   </w:t>
            </w:r>
            <w:r>
              <w:rPr>
                <w:rFonts w:hint="eastAsia" w:eastAsia="仿宋_GB2312"/>
                <w:sz w:val="28"/>
                <w:szCs w:val="28"/>
              </w:rPr>
              <w:t xml:space="preserve"> </w:t>
            </w:r>
            <w:r>
              <w:rPr>
                <w:rFonts w:eastAsia="仿宋_GB2312"/>
                <w:sz w:val="28"/>
                <w:szCs w:val="28"/>
              </w:rPr>
              <w:t>日</w:t>
            </w:r>
          </w:p>
        </w:tc>
      </w:tr>
    </w:tbl>
    <w:p>
      <w:pPr>
        <w:spacing w:line="540" w:lineRule="exact"/>
        <w:jc w:val="left"/>
        <w:textAlignment w:val="center"/>
        <w:rPr>
          <w:rFonts w:hint="eastAsia" w:ascii="黑体" w:hAnsi="宋体" w:eastAsia="黑体" w:cs="黑体"/>
          <w:color w:val="000000"/>
          <w:kern w:val="0"/>
          <w:sz w:val="32"/>
          <w:szCs w:val="32"/>
        </w:rPr>
      </w:pPr>
      <w:r>
        <w:rPr>
          <w:rFonts w:ascii="仿宋_GB2312" w:eastAsia="仿宋_GB2312"/>
        </w:rPr>
        <w:br w:type="page"/>
      </w:r>
      <w:r>
        <w:rPr>
          <w:rFonts w:hint="eastAsia" w:ascii="黑体" w:hAnsi="宋体" w:eastAsia="黑体" w:cs="黑体"/>
          <w:color w:val="000000"/>
          <w:kern w:val="0"/>
          <w:sz w:val="32"/>
          <w:szCs w:val="32"/>
        </w:rPr>
        <w:t>附表5</w:t>
      </w:r>
    </w:p>
    <w:p>
      <w:pPr>
        <w:spacing w:beforeLines="100"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绩效评价结果整改报告书</w:t>
      </w:r>
    </w:p>
    <w:p>
      <w:pPr>
        <w:spacing w:beforeLines="30" w:afterLines="50" w:line="600" w:lineRule="exact"/>
        <w:jc w:val="center"/>
        <w:rPr>
          <w:sz w:val="28"/>
          <w:szCs w:val="28"/>
        </w:rPr>
      </w:pPr>
      <w:r>
        <w:rPr>
          <w:rFonts w:eastAsia="楷体_GB2312"/>
          <w:sz w:val="32"/>
          <w:szCs w:val="32"/>
        </w:rPr>
        <w:t>（参考格式）</w:t>
      </w:r>
    </w:p>
    <w:tbl>
      <w:tblPr>
        <w:tblStyle w:val="6"/>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54"/>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vAlign w:val="center"/>
          </w:tcPr>
          <w:p>
            <w:pPr>
              <w:spacing w:line="360" w:lineRule="exact"/>
              <w:jc w:val="center"/>
              <w:rPr>
                <w:rFonts w:ascii="黑体" w:hAnsi="黑体" w:eastAsia="黑体"/>
                <w:sz w:val="24"/>
              </w:rPr>
            </w:pPr>
            <w:r>
              <w:rPr>
                <w:rFonts w:ascii="黑体" w:hAnsi="黑体" w:eastAsia="黑体"/>
                <w:sz w:val="24"/>
              </w:rPr>
              <w:t>预算支出名称</w:t>
            </w:r>
          </w:p>
        </w:tc>
        <w:tc>
          <w:tcPr>
            <w:tcW w:w="7399" w:type="dxa"/>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vAlign w:val="center"/>
          </w:tcPr>
          <w:p>
            <w:pPr>
              <w:spacing w:line="360" w:lineRule="exact"/>
              <w:jc w:val="center"/>
              <w:rPr>
                <w:rFonts w:ascii="黑体" w:hAnsi="黑体" w:eastAsia="黑体"/>
                <w:sz w:val="24"/>
              </w:rPr>
            </w:pPr>
            <w:r>
              <w:rPr>
                <w:rFonts w:ascii="黑体" w:hAnsi="黑体" w:eastAsia="黑体"/>
                <w:sz w:val="24"/>
              </w:rPr>
              <w:t>评价内容</w:t>
            </w:r>
          </w:p>
        </w:tc>
        <w:tc>
          <w:tcPr>
            <w:tcW w:w="7399" w:type="dxa"/>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2" w:type="dxa"/>
            <w:gridSpan w:val="2"/>
            <w:vAlign w:val="center"/>
          </w:tcPr>
          <w:p>
            <w:pPr>
              <w:spacing w:line="360" w:lineRule="exact"/>
              <w:jc w:val="center"/>
              <w:rPr>
                <w:rFonts w:ascii="黑体" w:hAnsi="黑体" w:eastAsia="黑体"/>
                <w:sz w:val="24"/>
              </w:rPr>
            </w:pPr>
            <w:r>
              <w:rPr>
                <w:rFonts w:ascii="黑体" w:hAnsi="黑体" w:eastAsia="黑体"/>
                <w:sz w:val="24"/>
              </w:rPr>
              <w:t>联系人及电话</w:t>
            </w:r>
          </w:p>
        </w:tc>
        <w:tc>
          <w:tcPr>
            <w:tcW w:w="7399" w:type="dxa"/>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jc w:val="center"/>
        </w:trPr>
        <w:tc>
          <w:tcPr>
            <w:tcW w:w="9131" w:type="dxa"/>
            <w:gridSpan w:val="3"/>
          </w:tcPr>
          <w:p>
            <w:pPr>
              <w:spacing w:line="360" w:lineRule="exact"/>
              <w:ind w:right="-27" w:rightChars="-13"/>
              <w:jc w:val="center"/>
              <w:rPr>
                <w:rFonts w:hint="eastAsia" w:ascii="仿宋_GB2312" w:eastAsia="仿宋_GB2312"/>
                <w:sz w:val="24"/>
              </w:rPr>
            </w:pPr>
            <w:r>
              <w:rPr>
                <w:rFonts w:hint="eastAsia" w:ascii="仿宋_GB2312" w:eastAsia="仿宋_GB2312"/>
                <w:sz w:val="24"/>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578" w:type="dxa"/>
            <w:vAlign w:val="center"/>
          </w:tcPr>
          <w:p>
            <w:pPr>
              <w:spacing w:line="360" w:lineRule="exact"/>
              <w:ind w:right="-27" w:rightChars="-13"/>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单位意见</w:t>
            </w:r>
          </w:p>
        </w:tc>
        <w:tc>
          <w:tcPr>
            <w:tcW w:w="7553" w:type="dxa"/>
            <w:gridSpan w:val="2"/>
            <w:vAlign w:val="center"/>
          </w:tcPr>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r>
              <w:rPr>
                <w:rFonts w:hint="eastAsia" w:ascii="仿宋_GB2312" w:hAnsi="Times New Roman" w:eastAsia="仿宋_GB2312" w:cs="Times New Roman"/>
                <w:sz w:val="24"/>
              </w:rPr>
              <w:t>单位负责人签名：         单位（盖章）：          年   月    日</w:t>
            </w:r>
          </w:p>
        </w:tc>
      </w:tr>
    </w:tbl>
    <w:p>
      <w:pPr>
        <w:spacing w:line="540" w:lineRule="exact"/>
        <w:jc w:val="left"/>
        <w:textAlignment w:val="center"/>
        <w:rPr>
          <w:rFonts w:hint="eastAsia" w:ascii="仿宋_GB2312" w:hAnsi="宋体" w:eastAsia="仿宋_GB2312" w:cs="黑体"/>
          <w:color w:val="000000"/>
          <w:kern w:val="0"/>
          <w:sz w:val="32"/>
          <w:szCs w:val="32"/>
        </w:rPr>
      </w:pPr>
      <w:r>
        <w:rPr>
          <w:rFonts w:hint="eastAsia" w:ascii="仿宋_GB2312" w:hAnsi="宋体" w:eastAsia="仿宋_GB2312" w:cs="宋体"/>
          <w:b/>
          <w:szCs w:val="21"/>
        </w:rPr>
        <w:t>注</w:t>
      </w:r>
      <w:r>
        <w:rPr>
          <w:rFonts w:hint="eastAsia" w:ascii="仿宋_GB2312" w:hAnsi="宋体" w:eastAsia="仿宋_GB2312" w:cs="宋体"/>
          <w:bCs/>
          <w:szCs w:val="21"/>
        </w:rPr>
        <w:t>：绩效评价结果整改报告书应在收到绩效评价结果反馈意见后15天内交区财政局绩效管理股。</w:t>
      </w:r>
    </w:p>
    <w:sectPr>
      <w:footerReference r:id="rId5" w:type="default"/>
      <w:footerReference r:id="rId6" w:type="even"/>
      <w:pgSz w:w="11906" w:h="16838"/>
      <w:pgMar w:top="1814" w:right="1588" w:bottom="170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rFonts w:hint="eastAsia"/>
        <w:sz w:val="24"/>
        <w:szCs w:val="24"/>
      </w:rPr>
      <w:t xml:space="preserve">— </w:t>
    </w: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2</w:t>
    </w:r>
    <w:r>
      <w:rPr>
        <w:rFonts w:hint="eastAsia" w:ascii="仿宋_GB2312" w:eastAsia="仿宋_GB2312"/>
        <w:sz w:val="28"/>
        <w:szCs w:val="28"/>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rFonts w:hint="eastAsia"/>
        <w:sz w:val="24"/>
        <w:szCs w:val="24"/>
      </w:rPr>
      <w:t xml:space="preserve">— </w:t>
    </w: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11</w:t>
    </w:r>
    <w:r>
      <w:rPr>
        <w:rFonts w:hint="eastAsia" w:ascii="仿宋_GB2312" w:eastAsia="仿宋_GB2312"/>
        <w:sz w:val="28"/>
        <w:szCs w:val="28"/>
      </w:rPr>
      <w:fldChar w:fldCharType="end"/>
    </w:r>
    <w:r>
      <w:rPr>
        <w:rStyle w:val="9"/>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lang w:val="en-US" w:eastAsia="zh-CN"/>
      </w:rPr>
      <w:t>34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7"/>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3"/>
  <w:drawingGridVerticalSpacing w:val="30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2ODA2MTc0ZGUxYmRhNmFhNmJlOWFkNmJkOTIzMmYifQ=="/>
  </w:docVars>
  <w:rsids>
    <w:rsidRoot w:val="002841F0"/>
    <w:rsid w:val="00017F19"/>
    <w:rsid w:val="0002126C"/>
    <w:rsid w:val="000322FE"/>
    <w:rsid w:val="00083A84"/>
    <w:rsid w:val="00095FBA"/>
    <w:rsid w:val="000975B6"/>
    <w:rsid w:val="000A7A67"/>
    <w:rsid w:val="000B0058"/>
    <w:rsid w:val="000B0F8D"/>
    <w:rsid w:val="000E6122"/>
    <w:rsid w:val="000F5FF6"/>
    <w:rsid w:val="001A521A"/>
    <w:rsid w:val="001B7CED"/>
    <w:rsid w:val="00206D58"/>
    <w:rsid w:val="00217BDF"/>
    <w:rsid w:val="0023455E"/>
    <w:rsid w:val="00245DD6"/>
    <w:rsid w:val="00253BA0"/>
    <w:rsid w:val="002841F0"/>
    <w:rsid w:val="002A26C5"/>
    <w:rsid w:val="002B0015"/>
    <w:rsid w:val="002C29C8"/>
    <w:rsid w:val="002D39E9"/>
    <w:rsid w:val="002E0887"/>
    <w:rsid w:val="002E2754"/>
    <w:rsid w:val="00323747"/>
    <w:rsid w:val="00357CD1"/>
    <w:rsid w:val="00381C01"/>
    <w:rsid w:val="003C18A0"/>
    <w:rsid w:val="003E0E9A"/>
    <w:rsid w:val="00402332"/>
    <w:rsid w:val="00403204"/>
    <w:rsid w:val="0040466A"/>
    <w:rsid w:val="00424CB9"/>
    <w:rsid w:val="00475C30"/>
    <w:rsid w:val="004765CE"/>
    <w:rsid w:val="00477D46"/>
    <w:rsid w:val="004A4064"/>
    <w:rsid w:val="004D32A9"/>
    <w:rsid w:val="004D38DA"/>
    <w:rsid w:val="004D6EF5"/>
    <w:rsid w:val="0057564F"/>
    <w:rsid w:val="00583D39"/>
    <w:rsid w:val="005938EF"/>
    <w:rsid w:val="005A77E0"/>
    <w:rsid w:val="005C3239"/>
    <w:rsid w:val="005C6C45"/>
    <w:rsid w:val="005E19CE"/>
    <w:rsid w:val="00605269"/>
    <w:rsid w:val="00617784"/>
    <w:rsid w:val="00625AFB"/>
    <w:rsid w:val="00641ABF"/>
    <w:rsid w:val="00644AED"/>
    <w:rsid w:val="006622CD"/>
    <w:rsid w:val="00680C7E"/>
    <w:rsid w:val="006D40DF"/>
    <w:rsid w:val="00705A7E"/>
    <w:rsid w:val="007276AD"/>
    <w:rsid w:val="00736F10"/>
    <w:rsid w:val="0074439A"/>
    <w:rsid w:val="007458D0"/>
    <w:rsid w:val="00780DF4"/>
    <w:rsid w:val="007B0791"/>
    <w:rsid w:val="007C323E"/>
    <w:rsid w:val="007D4DBB"/>
    <w:rsid w:val="007D6ADE"/>
    <w:rsid w:val="007D6C40"/>
    <w:rsid w:val="007E5E22"/>
    <w:rsid w:val="007F5622"/>
    <w:rsid w:val="0080259B"/>
    <w:rsid w:val="008073F2"/>
    <w:rsid w:val="008469D8"/>
    <w:rsid w:val="00852EBC"/>
    <w:rsid w:val="00853EB8"/>
    <w:rsid w:val="008556AF"/>
    <w:rsid w:val="00887BF5"/>
    <w:rsid w:val="00893271"/>
    <w:rsid w:val="008A783C"/>
    <w:rsid w:val="008D4BBC"/>
    <w:rsid w:val="008F2FB6"/>
    <w:rsid w:val="008F33A7"/>
    <w:rsid w:val="008F356B"/>
    <w:rsid w:val="00937C0B"/>
    <w:rsid w:val="00953EA1"/>
    <w:rsid w:val="00960AAE"/>
    <w:rsid w:val="009E65BD"/>
    <w:rsid w:val="009E6E31"/>
    <w:rsid w:val="00A00516"/>
    <w:rsid w:val="00A02C2D"/>
    <w:rsid w:val="00A161B1"/>
    <w:rsid w:val="00A213FE"/>
    <w:rsid w:val="00A34D34"/>
    <w:rsid w:val="00A44677"/>
    <w:rsid w:val="00A60759"/>
    <w:rsid w:val="00A62C5E"/>
    <w:rsid w:val="00A64A64"/>
    <w:rsid w:val="00A704AE"/>
    <w:rsid w:val="00A82A31"/>
    <w:rsid w:val="00AA29CB"/>
    <w:rsid w:val="00AC0196"/>
    <w:rsid w:val="00AD2412"/>
    <w:rsid w:val="00AE05EB"/>
    <w:rsid w:val="00B00A50"/>
    <w:rsid w:val="00B065A7"/>
    <w:rsid w:val="00B07287"/>
    <w:rsid w:val="00B4291E"/>
    <w:rsid w:val="00B52021"/>
    <w:rsid w:val="00B771A3"/>
    <w:rsid w:val="00B92F93"/>
    <w:rsid w:val="00B95CAE"/>
    <w:rsid w:val="00BA3499"/>
    <w:rsid w:val="00BB6D3B"/>
    <w:rsid w:val="00BB7BBA"/>
    <w:rsid w:val="00BE1AEE"/>
    <w:rsid w:val="00BE62A1"/>
    <w:rsid w:val="00C44F64"/>
    <w:rsid w:val="00CA03F7"/>
    <w:rsid w:val="00CA40F2"/>
    <w:rsid w:val="00CD7AF8"/>
    <w:rsid w:val="00D04CC5"/>
    <w:rsid w:val="00D1035F"/>
    <w:rsid w:val="00D4326C"/>
    <w:rsid w:val="00D51716"/>
    <w:rsid w:val="00D6084C"/>
    <w:rsid w:val="00D93509"/>
    <w:rsid w:val="00DF5895"/>
    <w:rsid w:val="00E315F0"/>
    <w:rsid w:val="00E3574A"/>
    <w:rsid w:val="00E67A42"/>
    <w:rsid w:val="00EA0819"/>
    <w:rsid w:val="00EA5D3D"/>
    <w:rsid w:val="00EA6EB0"/>
    <w:rsid w:val="00EA79DC"/>
    <w:rsid w:val="00ED5EAE"/>
    <w:rsid w:val="00ED63B2"/>
    <w:rsid w:val="00ED6520"/>
    <w:rsid w:val="00EF30CB"/>
    <w:rsid w:val="00EF4F13"/>
    <w:rsid w:val="00EF6565"/>
    <w:rsid w:val="00EF7C52"/>
    <w:rsid w:val="00F32610"/>
    <w:rsid w:val="00F46049"/>
    <w:rsid w:val="00F862F4"/>
    <w:rsid w:val="00FC2E82"/>
    <w:rsid w:val="00FC5BD5"/>
    <w:rsid w:val="00FD1616"/>
    <w:rsid w:val="00FD795A"/>
    <w:rsid w:val="00FF3A2F"/>
    <w:rsid w:val="011A4082"/>
    <w:rsid w:val="01526F47"/>
    <w:rsid w:val="016E0C27"/>
    <w:rsid w:val="01E46D33"/>
    <w:rsid w:val="028E7519"/>
    <w:rsid w:val="029418F9"/>
    <w:rsid w:val="02E246B7"/>
    <w:rsid w:val="02FF7B95"/>
    <w:rsid w:val="0329757B"/>
    <w:rsid w:val="03312FA5"/>
    <w:rsid w:val="0391469A"/>
    <w:rsid w:val="04F82B4C"/>
    <w:rsid w:val="05A54A2B"/>
    <w:rsid w:val="05DC0690"/>
    <w:rsid w:val="062E2ADC"/>
    <w:rsid w:val="06AB4E25"/>
    <w:rsid w:val="06F95FF9"/>
    <w:rsid w:val="07E278CA"/>
    <w:rsid w:val="07E35C17"/>
    <w:rsid w:val="080528C5"/>
    <w:rsid w:val="08275445"/>
    <w:rsid w:val="0858423C"/>
    <w:rsid w:val="08904EE5"/>
    <w:rsid w:val="09EF451D"/>
    <w:rsid w:val="0A4C6CF4"/>
    <w:rsid w:val="0AA07F0D"/>
    <w:rsid w:val="0AAB0D8C"/>
    <w:rsid w:val="0B070ADB"/>
    <w:rsid w:val="0B7C1CDB"/>
    <w:rsid w:val="0BB1312B"/>
    <w:rsid w:val="0C914EA3"/>
    <w:rsid w:val="0CA94610"/>
    <w:rsid w:val="0CAD5A32"/>
    <w:rsid w:val="0CE51D21"/>
    <w:rsid w:val="0CE93D00"/>
    <w:rsid w:val="0D6D5FF2"/>
    <w:rsid w:val="0D766D04"/>
    <w:rsid w:val="0DDC3323"/>
    <w:rsid w:val="0E270E6E"/>
    <w:rsid w:val="0E4413FE"/>
    <w:rsid w:val="0E7B1096"/>
    <w:rsid w:val="0F2A5E71"/>
    <w:rsid w:val="0F34483A"/>
    <w:rsid w:val="0F435C3F"/>
    <w:rsid w:val="0F7D6584"/>
    <w:rsid w:val="0FA27F84"/>
    <w:rsid w:val="0FB03FAC"/>
    <w:rsid w:val="0FE52EF1"/>
    <w:rsid w:val="0FE97C61"/>
    <w:rsid w:val="10036608"/>
    <w:rsid w:val="1012241A"/>
    <w:rsid w:val="101F681B"/>
    <w:rsid w:val="102B6F19"/>
    <w:rsid w:val="10710382"/>
    <w:rsid w:val="10792C66"/>
    <w:rsid w:val="108616BD"/>
    <w:rsid w:val="11E41C63"/>
    <w:rsid w:val="11F33802"/>
    <w:rsid w:val="12254877"/>
    <w:rsid w:val="12C94E1D"/>
    <w:rsid w:val="12F66175"/>
    <w:rsid w:val="13271272"/>
    <w:rsid w:val="13AB1779"/>
    <w:rsid w:val="14165BA0"/>
    <w:rsid w:val="147D6BDD"/>
    <w:rsid w:val="14982D02"/>
    <w:rsid w:val="15C4429B"/>
    <w:rsid w:val="15E66FF7"/>
    <w:rsid w:val="160E6673"/>
    <w:rsid w:val="163B1335"/>
    <w:rsid w:val="1657363B"/>
    <w:rsid w:val="16A263C2"/>
    <w:rsid w:val="16F83B8C"/>
    <w:rsid w:val="175011B4"/>
    <w:rsid w:val="177C1BE6"/>
    <w:rsid w:val="17975995"/>
    <w:rsid w:val="18157E55"/>
    <w:rsid w:val="181E59CB"/>
    <w:rsid w:val="18A01C0A"/>
    <w:rsid w:val="18D163AA"/>
    <w:rsid w:val="194813A7"/>
    <w:rsid w:val="19CB7B83"/>
    <w:rsid w:val="19EB06CD"/>
    <w:rsid w:val="1A370B87"/>
    <w:rsid w:val="1A8B4866"/>
    <w:rsid w:val="1AA80112"/>
    <w:rsid w:val="1AD5401E"/>
    <w:rsid w:val="1B5B7DEE"/>
    <w:rsid w:val="1C084E76"/>
    <w:rsid w:val="1C307184"/>
    <w:rsid w:val="1C845B58"/>
    <w:rsid w:val="1D2A1481"/>
    <w:rsid w:val="1D3138DD"/>
    <w:rsid w:val="1D321B3B"/>
    <w:rsid w:val="1D3F3C7C"/>
    <w:rsid w:val="1D40136F"/>
    <w:rsid w:val="1DFF6547"/>
    <w:rsid w:val="1E0D074B"/>
    <w:rsid w:val="1EDE744A"/>
    <w:rsid w:val="1EE416FB"/>
    <w:rsid w:val="1F094269"/>
    <w:rsid w:val="1F20225E"/>
    <w:rsid w:val="1F775B68"/>
    <w:rsid w:val="208536D3"/>
    <w:rsid w:val="208B4C62"/>
    <w:rsid w:val="212435CF"/>
    <w:rsid w:val="22221145"/>
    <w:rsid w:val="2222738F"/>
    <w:rsid w:val="223E77C8"/>
    <w:rsid w:val="22897DA2"/>
    <w:rsid w:val="228A7DDC"/>
    <w:rsid w:val="22E82D97"/>
    <w:rsid w:val="243D02D8"/>
    <w:rsid w:val="264A5E67"/>
    <w:rsid w:val="266B0573"/>
    <w:rsid w:val="269A0FD3"/>
    <w:rsid w:val="27351CB2"/>
    <w:rsid w:val="2746225A"/>
    <w:rsid w:val="277056DD"/>
    <w:rsid w:val="27840FE1"/>
    <w:rsid w:val="27995F60"/>
    <w:rsid w:val="28025039"/>
    <w:rsid w:val="28762832"/>
    <w:rsid w:val="292F1373"/>
    <w:rsid w:val="297C6320"/>
    <w:rsid w:val="2A375D41"/>
    <w:rsid w:val="2A4933AC"/>
    <w:rsid w:val="2A6A3142"/>
    <w:rsid w:val="2AC73233"/>
    <w:rsid w:val="2B240EE6"/>
    <w:rsid w:val="2B2E0A5A"/>
    <w:rsid w:val="2B6F1F22"/>
    <w:rsid w:val="2CAE3B45"/>
    <w:rsid w:val="2D515207"/>
    <w:rsid w:val="2EF04F32"/>
    <w:rsid w:val="2F586FB3"/>
    <w:rsid w:val="2F7D7F41"/>
    <w:rsid w:val="2F9B5E1F"/>
    <w:rsid w:val="2FFE4C0B"/>
    <w:rsid w:val="304647E5"/>
    <w:rsid w:val="30656833"/>
    <w:rsid w:val="306C1463"/>
    <w:rsid w:val="30720C99"/>
    <w:rsid w:val="30F225B6"/>
    <w:rsid w:val="31006CAB"/>
    <w:rsid w:val="32026D9C"/>
    <w:rsid w:val="32144BB9"/>
    <w:rsid w:val="323F1C36"/>
    <w:rsid w:val="328805D3"/>
    <w:rsid w:val="32B41BE1"/>
    <w:rsid w:val="32C9470B"/>
    <w:rsid w:val="32F22914"/>
    <w:rsid w:val="330E08EF"/>
    <w:rsid w:val="333E5700"/>
    <w:rsid w:val="33471816"/>
    <w:rsid w:val="33645DFE"/>
    <w:rsid w:val="33AC7705"/>
    <w:rsid w:val="33DA54F0"/>
    <w:rsid w:val="33EB13DE"/>
    <w:rsid w:val="34326629"/>
    <w:rsid w:val="3436555C"/>
    <w:rsid w:val="34D74F44"/>
    <w:rsid w:val="3521751B"/>
    <w:rsid w:val="35921351"/>
    <w:rsid w:val="35AF2B08"/>
    <w:rsid w:val="35DE6650"/>
    <w:rsid w:val="36963DEF"/>
    <w:rsid w:val="373F6673"/>
    <w:rsid w:val="374D3268"/>
    <w:rsid w:val="377D6D5D"/>
    <w:rsid w:val="379654DD"/>
    <w:rsid w:val="384A1F02"/>
    <w:rsid w:val="38887767"/>
    <w:rsid w:val="38F757BE"/>
    <w:rsid w:val="391547C2"/>
    <w:rsid w:val="392679C6"/>
    <w:rsid w:val="394F385D"/>
    <w:rsid w:val="3968465A"/>
    <w:rsid w:val="39696AC7"/>
    <w:rsid w:val="3A1E3ECA"/>
    <w:rsid w:val="3A961FC4"/>
    <w:rsid w:val="3AB66084"/>
    <w:rsid w:val="3ACD0224"/>
    <w:rsid w:val="3AE90FAD"/>
    <w:rsid w:val="3B327BD4"/>
    <w:rsid w:val="3B741A64"/>
    <w:rsid w:val="3BE4429B"/>
    <w:rsid w:val="3BED5ECE"/>
    <w:rsid w:val="3BF263EC"/>
    <w:rsid w:val="3BF805A9"/>
    <w:rsid w:val="3C686097"/>
    <w:rsid w:val="3CAA7A33"/>
    <w:rsid w:val="3D3918BA"/>
    <w:rsid w:val="3D5A7DFA"/>
    <w:rsid w:val="3D8C71D4"/>
    <w:rsid w:val="3DAD3DC0"/>
    <w:rsid w:val="3E582318"/>
    <w:rsid w:val="3E7C0E1E"/>
    <w:rsid w:val="3F2006FA"/>
    <w:rsid w:val="3F471A01"/>
    <w:rsid w:val="3F71360C"/>
    <w:rsid w:val="40CF4BCB"/>
    <w:rsid w:val="413B5CBF"/>
    <w:rsid w:val="415B23B1"/>
    <w:rsid w:val="41BD4926"/>
    <w:rsid w:val="420D71D3"/>
    <w:rsid w:val="421F6412"/>
    <w:rsid w:val="42265FED"/>
    <w:rsid w:val="423927F0"/>
    <w:rsid w:val="429A12E2"/>
    <w:rsid w:val="42B53D78"/>
    <w:rsid w:val="42E3660E"/>
    <w:rsid w:val="436B0F98"/>
    <w:rsid w:val="43DB72E5"/>
    <w:rsid w:val="44695F79"/>
    <w:rsid w:val="44753D0C"/>
    <w:rsid w:val="44AF1E56"/>
    <w:rsid w:val="45937765"/>
    <w:rsid w:val="45945099"/>
    <w:rsid w:val="45D07E8C"/>
    <w:rsid w:val="46A50BDF"/>
    <w:rsid w:val="46A6540D"/>
    <w:rsid w:val="46FE0A76"/>
    <w:rsid w:val="47277D4D"/>
    <w:rsid w:val="472E597E"/>
    <w:rsid w:val="47D90785"/>
    <w:rsid w:val="48651873"/>
    <w:rsid w:val="48BF4A4F"/>
    <w:rsid w:val="49581B60"/>
    <w:rsid w:val="496E58E1"/>
    <w:rsid w:val="49B02709"/>
    <w:rsid w:val="49E40B4A"/>
    <w:rsid w:val="4A057578"/>
    <w:rsid w:val="4A4549BE"/>
    <w:rsid w:val="4AED7191"/>
    <w:rsid w:val="4B16063F"/>
    <w:rsid w:val="4B1B5657"/>
    <w:rsid w:val="4B5930F3"/>
    <w:rsid w:val="4B987E0E"/>
    <w:rsid w:val="4BA708DA"/>
    <w:rsid w:val="4C12528C"/>
    <w:rsid w:val="4C6C05BE"/>
    <w:rsid w:val="4CB8795D"/>
    <w:rsid w:val="4D2007CB"/>
    <w:rsid w:val="4D566D5D"/>
    <w:rsid w:val="4DFC0F09"/>
    <w:rsid w:val="4E06030D"/>
    <w:rsid w:val="4E123A85"/>
    <w:rsid w:val="4E26024E"/>
    <w:rsid w:val="4E36032C"/>
    <w:rsid w:val="4E391E79"/>
    <w:rsid w:val="4EAD0DF3"/>
    <w:rsid w:val="4F3B6524"/>
    <w:rsid w:val="4F684946"/>
    <w:rsid w:val="4F7C6CF2"/>
    <w:rsid w:val="504B61B3"/>
    <w:rsid w:val="504F0E3F"/>
    <w:rsid w:val="50585B66"/>
    <w:rsid w:val="506B2B4D"/>
    <w:rsid w:val="515D6038"/>
    <w:rsid w:val="517E0187"/>
    <w:rsid w:val="518D48C8"/>
    <w:rsid w:val="527542E7"/>
    <w:rsid w:val="527F3531"/>
    <w:rsid w:val="533802B0"/>
    <w:rsid w:val="53C64F3E"/>
    <w:rsid w:val="53C71634"/>
    <w:rsid w:val="53F15728"/>
    <w:rsid w:val="547942B0"/>
    <w:rsid w:val="54C56CFF"/>
    <w:rsid w:val="54E82D6A"/>
    <w:rsid w:val="54F05172"/>
    <w:rsid w:val="54F945E4"/>
    <w:rsid w:val="55547B5F"/>
    <w:rsid w:val="5579706C"/>
    <w:rsid w:val="567B09C5"/>
    <w:rsid w:val="56AC391A"/>
    <w:rsid w:val="56C02A99"/>
    <w:rsid w:val="56C119E2"/>
    <w:rsid w:val="56DF5D83"/>
    <w:rsid w:val="572E76B5"/>
    <w:rsid w:val="579378DD"/>
    <w:rsid w:val="57D35AE7"/>
    <w:rsid w:val="58787A12"/>
    <w:rsid w:val="58CB3E9E"/>
    <w:rsid w:val="58D44761"/>
    <w:rsid w:val="5935236C"/>
    <w:rsid w:val="59AD4E28"/>
    <w:rsid w:val="5A4168EC"/>
    <w:rsid w:val="5A9C623F"/>
    <w:rsid w:val="5AFB5530"/>
    <w:rsid w:val="5AFD5BE3"/>
    <w:rsid w:val="5B321A89"/>
    <w:rsid w:val="5B565890"/>
    <w:rsid w:val="5DA55943"/>
    <w:rsid w:val="5DAD6008"/>
    <w:rsid w:val="5E2810B4"/>
    <w:rsid w:val="5E347319"/>
    <w:rsid w:val="5E706035"/>
    <w:rsid w:val="5E8F51E6"/>
    <w:rsid w:val="5EA62B2C"/>
    <w:rsid w:val="5F0651FE"/>
    <w:rsid w:val="5F464EFA"/>
    <w:rsid w:val="5F87465B"/>
    <w:rsid w:val="5FED5C6A"/>
    <w:rsid w:val="5FF13CC0"/>
    <w:rsid w:val="605B2A6C"/>
    <w:rsid w:val="607F5BB3"/>
    <w:rsid w:val="61A32153"/>
    <w:rsid w:val="62260A44"/>
    <w:rsid w:val="62464AC7"/>
    <w:rsid w:val="627A1C5F"/>
    <w:rsid w:val="62821148"/>
    <w:rsid w:val="62F936AE"/>
    <w:rsid w:val="6332776B"/>
    <w:rsid w:val="640A0B5F"/>
    <w:rsid w:val="641A4AF2"/>
    <w:rsid w:val="643B19AE"/>
    <w:rsid w:val="645D4C87"/>
    <w:rsid w:val="647318F6"/>
    <w:rsid w:val="64771E19"/>
    <w:rsid w:val="64D133FE"/>
    <w:rsid w:val="64D13AEE"/>
    <w:rsid w:val="6549774F"/>
    <w:rsid w:val="65974C05"/>
    <w:rsid w:val="660516F0"/>
    <w:rsid w:val="66BE1197"/>
    <w:rsid w:val="66CC5FFA"/>
    <w:rsid w:val="670752CC"/>
    <w:rsid w:val="67896360"/>
    <w:rsid w:val="678D77D7"/>
    <w:rsid w:val="687B25AC"/>
    <w:rsid w:val="69425C9C"/>
    <w:rsid w:val="69B10E15"/>
    <w:rsid w:val="69D72179"/>
    <w:rsid w:val="69F22AA0"/>
    <w:rsid w:val="6A727FBB"/>
    <w:rsid w:val="6A814C99"/>
    <w:rsid w:val="6B04111E"/>
    <w:rsid w:val="6C3C4B05"/>
    <w:rsid w:val="6C602FC1"/>
    <w:rsid w:val="6C8240DF"/>
    <w:rsid w:val="6CB67B70"/>
    <w:rsid w:val="6CBD5C34"/>
    <w:rsid w:val="6D0E6419"/>
    <w:rsid w:val="6D3F61AF"/>
    <w:rsid w:val="6D7A6C9D"/>
    <w:rsid w:val="6D967268"/>
    <w:rsid w:val="6DAB5F89"/>
    <w:rsid w:val="6DE50ABF"/>
    <w:rsid w:val="6E4C59D2"/>
    <w:rsid w:val="6EA81681"/>
    <w:rsid w:val="6EAF7916"/>
    <w:rsid w:val="6EDC5B3C"/>
    <w:rsid w:val="6F3B7F1C"/>
    <w:rsid w:val="6F66092A"/>
    <w:rsid w:val="6F6A3147"/>
    <w:rsid w:val="6FEF756B"/>
    <w:rsid w:val="6FF27194"/>
    <w:rsid w:val="6FF3686F"/>
    <w:rsid w:val="703F01BE"/>
    <w:rsid w:val="70877F38"/>
    <w:rsid w:val="70FF06B1"/>
    <w:rsid w:val="713D7A09"/>
    <w:rsid w:val="724D4D4F"/>
    <w:rsid w:val="72646F51"/>
    <w:rsid w:val="728F12F7"/>
    <w:rsid w:val="734C133C"/>
    <w:rsid w:val="73863634"/>
    <w:rsid w:val="73EA114C"/>
    <w:rsid w:val="74DB42DE"/>
    <w:rsid w:val="759C1992"/>
    <w:rsid w:val="75B80D5B"/>
    <w:rsid w:val="75C52E99"/>
    <w:rsid w:val="76A333E3"/>
    <w:rsid w:val="77040BB3"/>
    <w:rsid w:val="77E03A5B"/>
    <w:rsid w:val="78253852"/>
    <w:rsid w:val="782F2538"/>
    <w:rsid w:val="786A5F98"/>
    <w:rsid w:val="788C2B31"/>
    <w:rsid w:val="78E008E2"/>
    <w:rsid w:val="78E75809"/>
    <w:rsid w:val="78FA2932"/>
    <w:rsid w:val="78FD1714"/>
    <w:rsid w:val="79002D6F"/>
    <w:rsid w:val="796152BB"/>
    <w:rsid w:val="7A341BC9"/>
    <w:rsid w:val="7A6B3FE7"/>
    <w:rsid w:val="7ABE79F8"/>
    <w:rsid w:val="7B2F03D4"/>
    <w:rsid w:val="7B6A6A4B"/>
    <w:rsid w:val="7B837E78"/>
    <w:rsid w:val="7BDA25DA"/>
    <w:rsid w:val="7C033CE2"/>
    <w:rsid w:val="7C732E3F"/>
    <w:rsid w:val="7D7260C1"/>
    <w:rsid w:val="7DAD549A"/>
    <w:rsid w:val="7E040C0B"/>
    <w:rsid w:val="7E46038E"/>
    <w:rsid w:val="7EDB2D96"/>
    <w:rsid w:val="7EDD59EE"/>
    <w:rsid w:val="7F681EFE"/>
    <w:rsid w:val="7F7B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rPr>
      <w:rFonts w:ascii="Calibri" w:hAnsi="Calibri" w:cs="Calibri"/>
      <w:kern w:val="2"/>
      <w:sz w:val="21"/>
      <w:szCs w:val="22"/>
    </w:rPr>
    <w:tblPr>
      <w:tblCellMar>
        <w:top w:w="0" w:type="dxa"/>
        <w:left w:w="108" w:type="dxa"/>
        <w:bottom w:w="0" w:type="dxa"/>
        <w:right w:w="108" w:type="dxa"/>
      </w:tblCellMar>
    </w:tblPr>
  </w:style>
  <w:style w:type="paragraph" w:styleId="2">
    <w:name w:val="Body Text Indent 2"/>
    <w:basedOn w:val="1"/>
    <w:unhideWhenUsed/>
    <w:uiPriority w:val="0"/>
    <w:pPr>
      <w:ind w:firstLine="588" w:firstLineChars="200"/>
    </w:pPr>
    <w:rPr>
      <w:rFonts w:ascii="仿宋_GB2312" w:hAnsi="Calibri" w:eastAsia="仿宋_GB2312"/>
      <w:sz w:val="32"/>
    </w:rPr>
  </w:style>
  <w:style w:type="paragraph" w:styleId="3">
    <w:name w:val="footer"/>
    <w:basedOn w:val="1"/>
    <w:link w:val="1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kern w:val="0"/>
      <w:sz w:val="24"/>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Hyperlink"/>
    <w:basedOn w:val="8"/>
    <w:unhideWhenUsed/>
    <w:qFormat/>
    <w:uiPriority w:val="0"/>
    <w:rPr>
      <w:color w:val="0000FF"/>
      <w:u w:val="single"/>
    </w:rPr>
  </w:style>
  <w:style w:type="character" w:customStyle="1" w:styleId="11">
    <w:name w:val="页脚 Char"/>
    <w:link w:val="3"/>
    <w:qFormat/>
    <w:uiPriority w:val="0"/>
    <w:rPr>
      <w:rFonts w:eastAsia="宋体"/>
      <w:sz w:val="18"/>
      <w:szCs w:val="18"/>
      <w:lang w:bidi="ar-SA"/>
    </w:rPr>
  </w:style>
  <w:style w:type="character" w:customStyle="1" w:styleId="12">
    <w:name w:val="font01"/>
    <w:basedOn w:val="8"/>
    <w:qFormat/>
    <w:uiPriority w:val="0"/>
    <w:rPr>
      <w:rFonts w:ascii="Arial" w:hAnsi="Arial" w:cs="Arial"/>
      <w:b/>
      <w:color w:val="000000"/>
      <w:sz w:val="24"/>
      <w:szCs w:val="24"/>
      <w:u w:val="none"/>
    </w:rPr>
  </w:style>
  <w:style w:type="character" w:customStyle="1" w:styleId="13">
    <w:name w:val="font31"/>
    <w:basedOn w:val="8"/>
    <w:qFormat/>
    <w:uiPriority w:val="0"/>
    <w:rPr>
      <w:rFonts w:hint="eastAsia" w:ascii="宋体" w:hAnsi="宋体" w:eastAsia="宋体" w:cs="宋体"/>
      <w:b/>
      <w:color w:val="000000"/>
      <w:sz w:val="24"/>
      <w:szCs w:val="24"/>
      <w:u w:val="none"/>
    </w:rPr>
  </w:style>
  <w:style w:type="character" w:customStyle="1" w:styleId="14">
    <w:name w:val="标题 3 Char Char"/>
    <w:qFormat/>
    <w:uiPriority w:val="0"/>
    <w:rPr>
      <w:rFonts w:eastAsia="楷体_GB2312"/>
      <w:b/>
      <w:kern w:val="2"/>
      <w:sz w:val="32"/>
      <w:szCs w:val="24"/>
      <w:lang w:val="en-US" w:eastAsia="zh-CN" w:bidi="ar-SA"/>
    </w:rPr>
  </w:style>
  <w:style w:type="paragraph" w:customStyle="1" w:styleId="15">
    <w:name w:val=" Char"/>
    <w:basedOn w:val="1"/>
    <w:qFormat/>
    <w:uiPriority w:val="0"/>
    <w:pPr>
      <w:autoSpaceDE w:val="0"/>
      <w:autoSpaceDN w:val="0"/>
      <w:adjustRightInd w:val="0"/>
    </w:pPr>
    <w:rPr>
      <w:rFonts w:ascii="宋体" w:cs="宋体"/>
      <w:kern w:val="0"/>
      <w:sz w:val="20"/>
      <w:szCs w:val="20"/>
      <w:lang w:val="zh-CN"/>
    </w:rPr>
  </w:style>
  <w:style w:type="paragraph" w:customStyle="1" w:styleId="16">
    <w:name w:val=" 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paragraph" w:customStyle="1"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11</Pages>
  <Words>3815</Words>
  <Characters>4139</Characters>
  <Lines>38</Lines>
  <Paragraphs>10</Paragraphs>
  <TotalTime>7</TotalTime>
  <ScaleCrop>false</ScaleCrop>
  <LinksUpToDate>false</LinksUpToDate>
  <CharactersWithSpaces>4743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2022-07-14T02:58:00Z</dcterms:created>
  <dc:creator>吴川 10.105.113.190</dc:creator>
  <cp:lastModifiedBy>Administrator</cp:lastModifiedBy>
  <cp:lastPrinted>2022-03-21T01:39:00Z</cp:lastPrinted>
  <dcterms:modified xsi:type="dcterms:W3CDTF">2023-06-19T06:36:34Z</dcterms:modified>
  <dc:title>岳阳市财政局文件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3F0E6105375447B38A455CEEF598417F</vt:lpwstr>
  </property>
</Properties>
</file>