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-1：</w:t>
      </w:r>
    </w:p>
    <w:p>
      <w:pPr>
        <w:spacing w:line="800" w:lineRule="exact"/>
        <w:jc w:val="center"/>
        <w:rPr>
          <w:rFonts w:hint="eastAsia"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none"/>
        </w:rPr>
        <w:t>20</w:t>
      </w:r>
      <w:r>
        <w:rPr>
          <w:rFonts w:hint="eastAsia" w:eastAsia="方正小标宋简体"/>
          <w:bCs/>
          <w:sz w:val="46"/>
          <w:szCs w:val="46"/>
          <w:u w:val="none"/>
          <w:lang w:val="en-US" w:eastAsia="zh-CN"/>
        </w:rPr>
        <w:t>22</w:t>
      </w:r>
      <w:r>
        <w:rPr>
          <w:rFonts w:hint="eastAsia" w:eastAsia="方正小标宋简体"/>
          <w:bCs/>
          <w:sz w:val="46"/>
          <w:szCs w:val="46"/>
        </w:rPr>
        <w:t>年度</w:t>
      </w:r>
      <w:r>
        <w:rPr>
          <w:rFonts w:hint="eastAsia" w:eastAsia="方正小标宋简体"/>
          <w:bCs/>
          <w:sz w:val="46"/>
          <w:szCs w:val="46"/>
          <w:lang w:val="en-US" w:eastAsia="zh-CN"/>
        </w:rPr>
        <w:t>部门</w:t>
      </w:r>
      <w:r>
        <w:rPr>
          <w:rFonts w:hint="eastAsia" w:eastAsia="方正小标宋简体"/>
          <w:bCs/>
          <w:sz w:val="46"/>
          <w:szCs w:val="46"/>
        </w:rPr>
        <w:t>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岳阳市云溪区长岭炼化协作协调事务中心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w:t>
      </w:r>
      <w:r>
        <w:rPr>
          <w:rFonts w:hint="eastAsia" w:eastAsia="仿宋_GB2312"/>
          <w:sz w:val="32"/>
          <w:szCs w:val="32"/>
          <w:lang w:val="en-US" w:eastAsia="zh-CN"/>
        </w:rPr>
        <w:t>部门（</w:t>
      </w:r>
      <w:r>
        <w:rPr>
          <w:rFonts w:hint="eastAsia" w:eastAsia="仿宋_GB2312"/>
          <w:sz w:val="32"/>
          <w:szCs w:val="32"/>
        </w:rPr>
        <w:t>单位</w:t>
      </w:r>
      <w:r>
        <w:rPr>
          <w:rFonts w:hint="eastAsia" w:eastAsia="仿宋_GB2312"/>
          <w:sz w:val="32"/>
          <w:szCs w:val="32"/>
          <w:lang w:eastAsia="zh-CN"/>
        </w:rPr>
        <w:t>）</w:t>
      </w:r>
      <w:r>
        <w:rPr>
          <w:rFonts w:hint="eastAsia" w:eastAsia="仿宋_GB2312"/>
          <w:sz w:val="32"/>
          <w:szCs w:val="32"/>
        </w:rPr>
        <w:t>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评价机构：</w:t>
      </w:r>
      <w:r>
        <w:rPr>
          <w:rFonts w:hint="eastAsia" w:eastAsia="仿宋_GB2312"/>
          <w:sz w:val="32"/>
          <w:szCs w:val="32"/>
          <w:lang w:val="en-US" w:eastAsia="zh-CN"/>
        </w:rPr>
        <w:t>部门（</w:t>
      </w:r>
      <w:r>
        <w:rPr>
          <w:rFonts w:hint="eastAsia" w:eastAsia="仿宋_GB2312"/>
          <w:sz w:val="32"/>
          <w:szCs w:val="32"/>
        </w:rPr>
        <w:t>单位</w:t>
      </w:r>
      <w:r>
        <w:rPr>
          <w:rFonts w:hint="eastAsia" w:eastAsia="仿宋_GB2312"/>
          <w:sz w:val="32"/>
          <w:szCs w:val="32"/>
          <w:lang w:eastAsia="zh-CN"/>
        </w:rPr>
        <w:t>）</w:t>
      </w:r>
      <w:r>
        <w:rPr>
          <w:rFonts w:hint="eastAsia" w:eastAsia="仿宋_GB2312"/>
          <w:sz w:val="32"/>
          <w:szCs w:val="32"/>
        </w:rPr>
        <w:t xml:space="preserve">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59"/>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1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刘静</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8452866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1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82"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00" w:type="dxa"/>
            <w:gridSpan w:val="1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000000"/>
                <w:sz w:val="21"/>
                <w:szCs w:val="21"/>
              </w:rPr>
            </w:pPr>
            <w:r>
              <w:rPr>
                <w:rFonts w:hint="eastAsia" w:ascii="仿宋_GB2312" w:hAnsi="Calibri" w:eastAsia="仿宋_GB2312" w:cs="Calibri"/>
                <w:sz w:val="21"/>
                <w:szCs w:val="21"/>
              </w:rPr>
              <w:t>1</w:t>
            </w:r>
            <w:r>
              <w:rPr>
                <w:rFonts w:hint="eastAsia" w:ascii="仿宋_GB2312" w:eastAsia="仿宋_GB2312"/>
                <w:sz w:val="21"/>
                <w:szCs w:val="21"/>
              </w:rPr>
              <w:t>、贯彻执行区委、区政府“工业立区”和“厂地一体化”发展战略，为长岭炼化公司</w:t>
            </w:r>
            <w:r>
              <w:rPr>
                <w:rFonts w:hint="eastAsia" w:ascii="仿宋_GB2312" w:eastAsia="仿宋_GB2312"/>
                <w:sz w:val="21"/>
                <w:szCs w:val="21"/>
                <w:lang w:val="en-US" w:eastAsia="zh-CN"/>
              </w:rPr>
              <w:t>落户</w:t>
            </w:r>
            <w:r>
              <w:rPr>
                <w:rFonts w:hint="eastAsia" w:ascii="仿宋_GB2312" w:eastAsia="仿宋_GB2312"/>
                <w:sz w:val="21"/>
                <w:szCs w:val="21"/>
              </w:rPr>
              <w:t>我区</w:t>
            </w:r>
            <w:r>
              <w:rPr>
                <w:rFonts w:hint="eastAsia" w:ascii="仿宋_GB2312" w:eastAsia="仿宋_GB2312"/>
                <w:sz w:val="21"/>
                <w:szCs w:val="21"/>
                <w:lang w:val="en-US" w:eastAsia="zh-CN"/>
              </w:rPr>
              <w:t>的</w:t>
            </w:r>
            <w:r>
              <w:rPr>
                <w:rFonts w:hint="eastAsia" w:ascii="仿宋_GB2312" w:eastAsia="仿宋_GB2312"/>
                <w:sz w:val="21"/>
                <w:szCs w:val="21"/>
              </w:rPr>
              <w:t>改制企业提供服务。</w:t>
            </w:r>
            <w:r>
              <w:rPr>
                <w:rFonts w:hint="eastAsia" w:ascii="仿宋_GB2312" w:eastAsia="仿宋_GB2312"/>
                <w:sz w:val="21"/>
                <w:szCs w:val="21"/>
                <w:lang w:val="en-US" w:eastAsia="zh-CN"/>
              </w:rPr>
              <w:t>2、</w:t>
            </w:r>
            <w:r>
              <w:rPr>
                <w:rFonts w:hint="eastAsia" w:ascii="仿宋_GB2312" w:eastAsia="仿宋_GB2312"/>
                <w:sz w:val="21"/>
                <w:szCs w:val="21"/>
              </w:rPr>
              <w:t>负责宣传、落实区委、区政府招商引资和厂地协作优惠政策，大力开展招商引资和厂地协作活动，努力培植新兴主体财源。</w:t>
            </w:r>
            <w:r>
              <w:rPr>
                <w:rFonts w:hint="eastAsia" w:ascii="仿宋_GB2312" w:eastAsia="仿宋_GB2312"/>
                <w:sz w:val="21"/>
                <w:szCs w:val="21"/>
                <w:lang w:val="en-US" w:eastAsia="zh-CN"/>
              </w:rPr>
              <w:t>3、</w:t>
            </w:r>
            <w:r>
              <w:rPr>
                <w:rFonts w:hint="eastAsia" w:ascii="仿宋_GB2312" w:eastAsia="仿宋_GB2312"/>
                <w:sz w:val="21"/>
                <w:szCs w:val="21"/>
              </w:rPr>
              <w:t>依据国家有关法律法规</w:t>
            </w:r>
            <w:r>
              <w:rPr>
                <w:rFonts w:hint="eastAsia" w:ascii="仿宋_GB2312" w:eastAsia="仿宋_GB2312"/>
                <w:sz w:val="21"/>
                <w:szCs w:val="21"/>
                <w:lang w:val="en-US" w:eastAsia="zh-CN"/>
              </w:rPr>
              <w:t>规章</w:t>
            </w:r>
            <w:r>
              <w:rPr>
                <w:rFonts w:hint="eastAsia" w:ascii="仿宋_GB2312" w:eastAsia="仿宋_GB2312"/>
                <w:sz w:val="21"/>
                <w:szCs w:val="21"/>
              </w:rPr>
              <w:t>和政策规定，负责长岭炼化公司与地方的矛盾纠纷调处工作，维护长岭炼化正常的生产生活秩序和地方人民群众的合法权益。</w:t>
            </w:r>
            <w:r>
              <w:rPr>
                <w:rFonts w:hint="eastAsia" w:ascii="仿宋_GB2312" w:eastAsia="仿宋_GB2312"/>
                <w:sz w:val="21"/>
                <w:szCs w:val="21"/>
                <w:lang w:val="en-US" w:eastAsia="zh-CN"/>
              </w:rPr>
              <w:t>4、</w:t>
            </w:r>
            <w:r>
              <w:rPr>
                <w:rFonts w:hint="eastAsia" w:ascii="仿宋_GB2312" w:eastAsia="仿宋_GB2312"/>
                <w:sz w:val="21"/>
                <w:szCs w:val="21"/>
              </w:rPr>
              <w:t>负责长岭炼化公司和区政府经济技术协作信息库建设，开展涉厂情况调研，及时传递沟通厂地高层信息，为区委、区政府提供决策依据。</w:t>
            </w:r>
            <w:r>
              <w:rPr>
                <w:rFonts w:hint="eastAsia" w:ascii="仿宋_GB2312" w:eastAsia="仿宋_GB2312"/>
                <w:sz w:val="21"/>
                <w:szCs w:val="21"/>
                <w:lang w:val="en-US" w:eastAsia="zh-CN"/>
              </w:rPr>
              <w:t>5、</w:t>
            </w:r>
            <w:r>
              <w:rPr>
                <w:rFonts w:hint="eastAsia" w:ascii="仿宋_GB2312" w:eastAsia="仿宋_GB2312"/>
                <w:sz w:val="21"/>
                <w:szCs w:val="21"/>
              </w:rPr>
              <w:t>指导</w:t>
            </w:r>
            <w:r>
              <w:rPr>
                <w:rFonts w:hint="eastAsia" w:ascii="仿宋_GB2312" w:eastAsia="仿宋_GB2312"/>
                <w:sz w:val="21"/>
                <w:szCs w:val="21"/>
                <w:lang w:val="en-US" w:eastAsia="zh-CN"/>
              </w:rPr>
              <w:t>与</w:t>
            </w:r>
            <w:r>
              <w:rPr>
                <w:rFonts w:hint="eastAsia" w:ascii="仿宋_GB2312" w:eastAsia="仿宋_GB2312"/>
                <w:sz w:val="21"/>
                <w:szCs w:val="21"/>
              </w:rPr>
              <w:t>长岭炼化公司的经济技术协作和矛盾纠纷协调工作。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3"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00" w:type="dxa"/>
            <w:gridSpan w:val="1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1、做好周边镇</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街道）</w:t>
            </w:r>
            <w:r>
              <w:rPr>
                <w:rFonts w:hint="eastAsia" w:ascii="仿宋_GB2312" w:hAnsi="仿宋_GB2312" w:eastAsia="仿宋_GB2312" w:cs="仿宋_GB2312"/>
                <w:color w:val="000000"/>
                <w:sz w:val="21"/>
                <w:szCs w:val="21"/>
              </w:rPr>
              <w:t>涉厂矛盾纠纷排查及突发事件的处置工作，完善调处机制，建立调处台帐，保证调处率95%以上，确保全年不发生一起严重群体涉厂事件。2、做好管线安全隐患治理、</w:t>
            </w:r>
            <w:r>
              <w:rPr>
                <w:rFonts w:hint="eastAsia" w:ascii="仿宋_GB2312" w:hAnsi="仿宋_GB2312" w:eastAsia="仿宋_GB2312" w:cs="仿宋_GB2312"/>
                <w:color w:val="000000"/>
                <w:sz w:val="21"/>
                <w:szCs w:val="21"/>
                <w:lang w:val="en-US" w:eastAsia="zh-CN"/>
              </w:rPr>
              <w:t>商储油项目遗留问题、大厂周边各类爆管等</w:t>
            </w:r>
            <w:r>
              <w:rPr>
                <w:rFonts w:hint="eastAsia" w:ascii="仿宋_GB2312" w:hAnsi="仿宋_GB2312" w:eastAsia="仿宋_GB2312" w:cs="仿宋_GB2312"/>
                <w:color w:val="000000"/>
                <w:sz w:val="21"/>
                <w:szCs w:val="21"/>
              </w:rPr>
              <w:t>重点协调服务工作。3、多渠道开展厂地经济技术协作工作，主动对长炼及所属改制企业进行调查走访，开展“联手帮扶”工作，优化企业发展环境。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26"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年度单位总体运行情况及取得的成绩</w:t>
            </w:r>
          </w:p>
        </w:tc>
        <w:tc>
          <w:tcPr>
            <w:tcW w:w="8100" w:type="dxa"/>
            <w:gridSpan w:val="1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val="0"/>
                <w:bCs w:val="0"/>
                <w:color w:val="000000"/>
                <w:sz w:val="21"/>
                <w:szCs w:val="21"/>
              </w:rPr>
              <w:t>1、</w:t>
            </w:r>
            <w:r>
              <w:rPr>
                <w:rFonts w:hint="eastAsia" w:ascii="仿宋_GB2312" w:hAnsi="仿宋_GB2312" w:eastAsia="仿宋_GB2312" w:cs="仿宋_GB2312"/>
                <w:b w:val="0"/>
                <w:bCs w:val="0"/>
                <w:color w:val="000000"/>
                <w:sz w:val="21"/>
                <w:szCs w:val="21"/>
                <w:lang w:val="en-US" w:eastAsia="zh-CN"/>
              </w:rPr>
              <w:t>全力做好</w:t>
            </w:r>
            <w:r>
              <w:rPr>
                <w:rFonts w:hint="eastAsia" w:ascii="仿宋_GB2312" w:hAnsi="仿宋_GB2312" w:eastAsia="仿宋_GB2312" w:cs="仿宋_GB2312"/>
                <w:b w:val="0"/>
                <w:bCs w:val="0"/>
                <w:color w:val="000000"/>
                <w:sz w:val="21"/>
                <w:szCs w:val="21"/>
              </w:rPr>
              <w:t>涉厂矛盾纠纷及突发事件的</w:t>
            </w:r>
            <w:r>
              <w:rPr>
                <w:rFonts w:hint="eastAsia" w:ascii="仿宋_GB2312" w:hAnsi="仿宋_GB2312" w:eastAsia="仿宋_GB2312" w:cs="仿宋_GB2312"/>
                <w:b w:val="0"/>
                <w:bCs w:val="0"/>
                <w:color w:val="000000"/>
                <w:sz w:val="21"/>
                <w:szCs w:val="21"/>
                <w:lang w:val="en-US" w:eastAsia="zh-CN"/>
              </w:rPr>
              <w:t>协调</w:t>
            </w:r>
            <w:r>
              <w:rPr>
                <w:rFonts w:hint="eastAsia" w:ascii="仿宋_GB2312" w:hAnsi="仿宋_GB2312" w:eastAsia="仿宋_GB2312" w:cs="仿宋_GB2312"/>
                <w:b w:val="0"/>
                <w:bCs w:val="0"/>
                <w:color w:val="000000"/>
                <w:sz w:val="21"/>
                <w:szCs w:val="21"/>
              </w:rPr>
              <w:t>处置工作，全年</w:t>
            </w:r>
            <w:r>
              <w:rPr>
                <w:rFonts w:hint="eastAsia" w:ascii="仿宋_GB2312" w:hAnsi="仿宋_GB2312" w:eastAsia="仿宋_GB2312" w:cs="仿宋_GB2312"/>
                <w:b w:val="0"/>
                <w:bCs w:val="0"/>
                <w:color w:val="000000"/>
                <w:sz w:val="21"/>
                <w:szCs w:val="21"/>
                <w:lang w:val="en-US" w:eastAsia="zh-CN"/>
              </w:rPr>
              <w:t>没有</w:t>
            </w:r>
            <w:r>
              <w:rPr>
                <w:rFonts w:hint="eastAsia" w:ascii="仿宋_GB2312" w:hAnsi="仿宋_GB2312" w:eastAsia="仿宋_GB2312" w:cs="仿宋_GB2312"/>
                <w:b w:val="0"/>
                <w:bCs w:val="0"/>
                <w:color w:val="000000"/>
                <w:sz w:val="21"/>
                <w:szCs w:val="21"/>
              </w:rPr>
              <w:t>发生一起严重群体涉厂事件。</w:t>
            </w:r>
            <w:r>
              <w:rPr>
                <w:rFonts w:hint="eastAsia" w:ascii="仿宋_GB2312" w:hAnsi="仿宋_GB2312" w:eastAsia="仿宋_GB2312" w:cs="仿宋_GB2312"/>
                <w:b w:val="0"/>
                <w:bCs w:val="0"/>
                <w:color w:val="000000"/>
                <w:sz w:val="21"/>
                <w:szCs w:val="21"/>
                <w:lang w:val="en-US" w:eastAsia="zh-CN"/>
              </w:rPr>
              <w:t>主要协调处理了</w:t>
            </w:r>
            <w:r>
              <w:rPr>
                <w:rFonts w:hint="eastAsia" w:ascii="仿宋_GB2312" w:hAnsi="仿宋_GB2312" w:eastAsia="仿宋_GB2312" w:cs="仿宋_GB2312"/>
                <w:spacing w:val="-4"/>
                <w:sz w:val="21"/>
                <w:szCs w:val="21"/>
              </w:rPr>
              <w:t>港口部消防罐项目、</w:t>
            </w:r>
            <w:r>
              <w:rPr>
                <w:rFonts w:hint="eastAsia" w:ascii="仿宋_GB2312" w:hAnsi="仿宋_GB2312" w:eastAsia="仿宋_GB2312" w:cs="仿宋_GB2312"/>
                <w:sz w:val="21"/>
                <w:szCs w:val="21"/>
              </w:rPr>
              <w:t>北干道管线安全隐患整治、含油污水线拆除及环境美化亮化、</w:t>
            </w:r>
            <w:r>
              <w:rPr>
                <w:rFonts w:hint="eastAsia" w:ascii="仿宋_GB2312" w:hAnsi="仿宋_GB2312" w:eastAsia="仿宋_GB2312" w:cs="仿宋_GB2312"/>
                <w:spacing w:val="-4"/>
                <w:sz w:val="21"/>
                <w:szCs w:val="21"/>
              </w:rPr>
              <w:t>商储油项目遗留问题处理、</w:t>
            </w:r>
            <w:r>
              <w:rPr>
                <w:rFonts w:hint="eastAsia" w:ascii="仿宋_GB2312" w:hAnsi="仿宋_GB2312" w:eastAsia="仿宋_GB2312" w:cs="仿宋_GB2312"/>
                <w:sz w:val="21"/>
                <w:szCs w:val="21"/>
              </w:rPr>
              <w:t>爆管处置、</w:t>
            </w:r>
            <w:r>
              <w:rPr>
                <w:rFonts w:hint="eastAsia" w:ascii="仿宋_GB2312" w:hAnsi="仿宋_GB2312" w:eastAsia="仿宋_GB2312" w:cs="仿宋_GB2312"/>
                <w:spacing w:val="-4"/>
                <w:sz w:val="21"/>
                <w:szCs w:val="21"/>
              </w:rPr>
              <w:t>原屠宰场仓库、围墙</w:t>
            </w:r>
            <w:r>
              <w:rPr>
                <w:rFonts w:hint="eastAsia" w:ascii="仿宋_GB2312" w:hAnsi="仿宋_GB2312" w:eastAsia="仿宋_GB2312" w:cs="仿宋_GB2312"/>
                <w:sz w:val="21"/>
                <w:szCs w:val="21"/>
              </w:rPr>
              <w:t>安全</w:t>
            </w:r>
            <w:r>
              <w:rPr>
                <w:rFonts w:hint="eastAsia" w:ascii="仿宋_GB2312" w:hAnsi="仿宋_GB2312" w:eastAsia="仿宋_GB2312" w:cs="仿宋_GB2312"/>
                <w:spacing w:val="-4"/>
                <w:sz w:val="21"/>
                <w:szCs w:val="21"/>
              </w:rPr>
              <w:t>隐患整治、工业园110</w:t>
            </w:r>
            <w:r>
              <w:rPr>
                <w:rFonts w:hint="eastAsia" w:ascii="仿宋_GB2312" w:hAnsi="仿宋_GB2312" w:eastAsia="仿宋_GB2312" w:cs="仿宋_GB2312"/>
                <w:sz w:val="21"/>
                <w:szCs w:val="21"/>
              </w:rPr>
              <w:t>KV架峡长线安全隐患整治、长陆长岳线防腐检修项目、长陆35KV架空线移位及航煤管线项目投诉问题、“问题砖”受损群众上访、长陆长岳线平安管道共建、“</w:t>
            </w:r>
            <w:r>
              <w:rPr>
                <w:rFonts w:hint="eastAsia" w:ascii="仿宋_GB2312" w:hAnsi="仿宋_GB2312" w:eastAsia="仿宋_GB2312" w:cs="仿宋_GB2312"/>
                <w:spacing w:val="-4"/>
                <w:sz w:val="21"/>
                <w:szCs w:val="21"/>
              </w:rPr>
              <w:t>三供一业”和社会职能移交遗留问题</w:t>
            </w:r>
            <w:r>
              <w:rPr>
                <w:rFonts w:hint="eastAsia" w:ascii="仿宋_GB2312" w:hAnsi="仿宋_GB2312" w:eastAsia="仿宋_GB2312" w:cs="仿宋_GB2312"/>
                <w:sz w:val="21"/>
                <w:szCs w:val="21"/>
              </w:rPr>
              <w:t>协调和突发事件处置等</w:t>
            </w:r>
            <w:r>
              <w:rPr>
                <w:rFonts w:hint="eastAsia" w:ascii="仿宋_GB2312" w:hAnsi="仿宋_GB2312" w:eastAsia="仿宋_GB2312" w:cs="仿宋_GB2312"/>
                <w:sz w:val="21"/>
                <w:szCs w:val="21"/>
                <w:lang w:val="en-US" w:eastAsia="zh-CN"/>
              </w:rPr>
              <w:t>矛盾纠纷</w:t>
            </w:r>
            <w:r>
              <w:rPr>
                <w:rFonts w:hint="eastAsia" w:ascii="仿宋_GB2312" w:hAnsi="仿宋_GB2312" w:eastAsia="仿宋_GB2312" w:cs="仿宋_GB2312"/>
                <w:sz w:val="21"/>
                <w:szCs w:val="21"/>
              </w:rPr>
              <w:t>52起。努力</w:t>
            </w:r>
            <w:r>
              <w:rPr>
                <w:rFonts w:hint="eastAsia" w:ascii="仿宋_GB2312" w:hAnsi="仿宋_GB2312" w:eastAsia="仿宋_GB2312" w:cs="仿宋_GB2312"/>
                <w:sz w:val="21"/>
                <w:szCs w:val="21"/>
                <w:lang w:val="en-US" w:eastAsia="zh-CN"/>
              </w:rPr>
              <w:t>为企业</w:t>
            </w:r>
            <w:r>
              <w:rPr>
                <w:rFonts w:hint="eastAsia" w:ascii="仿宋_GB2312" w:hAnsi="仿宋_GB2312" w:eastAsia="仿宋_GB2312" w:cs="仿宋_GB2312"/>
                <w:sz w:val="21"/>
                <w:szCs w:val="21"/>
              </w:rPr>
              <w:t>发展</w:t>
            </w:r>
            <w:r>
              <w:rPr>
                <w:rFonts w:hint="eastAsia" w:ascii="仿宋_GB2312" w:hAnsi="仿宋_GB2312" w:eastAsia="仿宋_GB2312" w:cs="仿宋_GB2312"/>
                <w:sz w:val="21"/>
                <w:szCs w:val="21"/>
                <w:lang w:val="en-US" w:eastAsia="zh-CN"/>
              </w:rPr>
              <w:t>提供良好</w:t>
            </w:r>
            <w:r>
              <w:rPr>
                <w:rFonts w:hint="eastAsia" w:ascii="仿宋_GB2312" w:hAnsi="仿宋_GB2312" w:eastAsia="仿宋_GB2312" w:cs="仿宋_GB2312"/>
                <w:sz w:val="21"/>
                <w:szCs w:val="21"/>
              </w:rPr>
              <w:t>环境，</w:t>
            </w:r>
            <w:r>
              <w:rPr>
                <w:rFonts w:hint="eastAsia" w:ascii="仿宋_GB2312" w:hAnsi="仿宋_GB2312" w:eastAsia="仿宋_GB2312" w:cs="仿宋_GB2312"/>
                <w:sz w:val="21"/>
                <w:szCs w:val="21"/>
                <w:lang w:val="en-US" w:eastAsia="zh-CN"/>
              </w:rPr>
              <w:t>保障</w:t>
            </w:r>
            <w:r>
              <w:rPr>
                <w:rFonts w:hint="eastAsia" w:ascii="仿宋_GB2312" w:hAnsi="仿宋_GB2312" w:eastAsia="仿宋_GB2312" w:cs="仿宋_GB2312"/>
                <w:sz w:val="21"/>
                <w:szCs w:val="21"/>
              </w:rPr>
              <w:t>了正常的生产生活秩序</w:t>
            </w:r>
            <w:r>
              <w:rPr>
                <w:rFonts w:hint="eastAsia" w:ascii="仿宋_GB2312" w:hAnsi="仿宋_GB2312" w:eastAsia="仿宋_GB2312" w:cs="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2"/>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jc w:val="center"/>
        </w:trPr>
        <w:tc>
          <w:tcPr>
            <w:tcW w:w="1700"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705"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135.74</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 w:val="24"/>
                <w:lang w:val="en-US" w:eastAsia="zh-CN"/>
              </w:rPr>
            </w:pP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135.74</w:t>
            </w:r>
          </w:p>
        </w:tc>
        <w:tc>
          <w:tcPr>
            <w:tcW w:w="1705"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2"/>
            <w:vMerge w:val="restart"/>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93.74</w:t>
            </w:r>
          </w:p>
        </w:tc>
        <w:tc>
          <w:tcPr>
            <w:tcW w:w="2160" w:type="dxa"/>
            <w:gridSpan w:val="4"/>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42.00</w:t>
            </w:r>
          </w:p>
        </w:tc>
        <w:tc>
          <w:tcPr>
            <w:tcW w:w="1080" w:type="dxa"/>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135.74</w:t>
            </w: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93.74</w:t>
            </w:r>
          </w:p>
        </w:tc>
        <w:tc>
          <w:tcPr>
            <w:tcW w:w="2160" w:type="dxa"/>
            <w:gridSpan w:val="4"/>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42.00</w:t>
            </w:r>
          </w:p>
        </w:tc>
        <w:tc>
          <w:tcPr>
            <w:tcW w:w="1080" w:type="dxa"/>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2"/>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c>
          <w:tcPr>
            <w:tcW w:w="1080" w:type="dxa"/>
            <w:gridSpan w:val="2"/>
            <w:noWrap w:val="0"/>
            <w:vAlign w:val="center"/>
          </w:tcPr>
          <w:p>
            <w:pPr>
              <w:keepNext w:val="0"/>
              <w:keepLines w:val="0"/>
              <w:suppressLineNumbers w:val="0"/>
              <w:autoSpaceDN w:val="0"/>
              <w:spacing w:before="0" w:beforeAutospacing="0" w:after="0" w:afterAutospacing="0" w:line="36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11.19</w:t>
            </w: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11.19</w:t>
            </w: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11.19</w:t>
            </w: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11.19</w:t>
            </w: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noWrap w:val="0"/>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3774" w:type="dxa"/>
            <w:gridSpan w:val="6"/>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1、做好涉厂矛盾纠纷及突发事件处置工作。2、完成港口消防缺罐项目、商储油项目、管道安全隐患等项目协调工作。</w:t>
            </w:r>
          </w:p>
        </w:tc>
        <w:tc>
          <w:tcPr>
            <w:tcW w:w="4585" w:type="dxa"/>
            <w:gridSpan w:val="9"/>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0"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417" w:type="dxa"/>
            <w:gridSpan w:val="2"/>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宋体" w:eastAsia="仿宋_GB2312" w:cs="Calibri"/>
                <w:b w:val="0"/>
                <w:bCs w:val="0"/>
                <w:sz w:val="21"/>
                <w:szCs w:val="21"/>
              </w:rPr>
              <w:t>做好周边乡镇村组涉厂矛盾纠纷排查及突发事件的处置工作，调处率95%以上。</w:t>
            </w:r>
          </w:p>
        </w:tc>
        <w:tc>
          <w:tcPr>
            <w:tcW w:w="2684" w:type="dxa"/>
            <w:gridSpan w:val="6"/>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Calibri" w:eastAsia="仿宋_GB2312" w:cs="Calibri"/>
                <w:b w:val="0"/>
                <w:bCs w:val="0"/>
                <w:sz w:val="21"/>
                <w:szCs w:val="21"/>
              </w:rPr>
              <w:t>年度调处各类涉厂矛盾纠纷</w:t>
            </w:r>
            <w:r>
              <w:rPr>
                <w:rFonts w:hint="eastAsia" w:ascii="仿宋_GB2312" w:hAnsi="Calibri" w:eastAsia="仿宋_GB2312" w:cs="Calibri"/>
                <w:b w:val="0"/>
                <w:bCs w:val="0"/>
                <w:sz w:val="21"/>
                <w:szCs w:val="21"/>
                <w:lang w:val="en-US" w:eastAsia="zh-CN"/>
              </w:rPr>
              <w:t>80余</w:t>
            </w:r>
            <w:r>
              <w:rPr>
                <w:rFonts w:hint="eastAsia" w:ascii="仿宋_GB2312" w:hAnsi="Calibri" w:eastAsia="仿宋_GB2312" w:cs="Calibri"/>
                <w:b w:val="0"/>
                <w:bCs w:val="0"/>
                <w:sz w:val="21"/>
                <w:szCs w:val="21"/>
              </w:rPr>
              <w:t>起，调处率95%以上</w:t>
            </w:r>
            <w:r>
              <w:rPr>
                <w:rFonts w:hint="eastAsia" w:ascii="仿宋_GB2312" w:hAnsi="Calibri" w:eastAsia="仿宋_GB2312" w:cs="Calibri"/>
                <w:b w:val="0"/>
                <w:bCs w:val="0"/>
                <w:sz w:val="21"/>
                <w:szCs w:val="21"/>
                <w:lang w:eastAsia="zh-CN"/>
              </w:rPr>
              <w:t>，</w:t>
            </w:r>
            <w:r>
              <w:rPr>
                <w:rFonts w:hint="eastAsia" w:ascii="仿宋_GB2312" w:hAnsi="Calibri" w:eastAsia="仿宋_GB2312" w:cs="Calibri"/>
                <w:b w:val="0"/>
                <w:bCs w:val="0"/>
                <w:sz w:val="21"/>
                <w:szCs w:val="21"/>
                <w:lang w:val="en-US" w:eastAsia="zh-CN"/>
              </w:rPr>
              <w:t>没有发生群体性涉厂事件</w:t>
            </w:r>
            <w:r>
              <w:rPr>
                <w:rFonts w:hint="eastAsia" w:ascii="仿宋_GB2312" w:hAnsi="Calibri" w:eastAsia="仿宋_GB2312" w:cs="Calibri"/>
                <w:b w:val="0"/>
                <w:bCs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9"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left"/>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做好商储油项目遗留问题处理工作。</w:t>
            </w:r>
          </w:p>
        </w:tc>
        <w:tc>
          <w:tcPr>
            <w:tcW w:w="2684" w:type="dxa"/>
            <w:gridSpan w:val="6"/>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center"/>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确保项目顺利完成。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3"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240" w:lineRule="exact"/>
              <w:ind w:right="0"/>
              <w:rPr>
                <w:rFonts w:hint="default" w:ascii="仿宋_GB2312" w:hAnsi="仿宋" w:eastAsia="仿宋_GB2312" w:cs="宋体"/>
                <w:b w:val="0"/>
                <w:bCs/>
                <w:spacing w:val="-4"/>
                <w:sz w:val="21"/>
                <w:szCs w:val="21"/>
              </w:rPr>
            </w:pPr>
            <w:r>
              <w:rPr>
                <w:rFonts w:hint="eastAsia" w:ascii="仿宋_GB2312" w:hAnsi="仿宋" w:eastAsia="仿宋_GB2312" w:cs="Calibri"/>
                <w:b w:val="0"/>
                <w:bCs/>
                <w:sz w:val="21"/>
                <w:szCs w:val="21"/>
              </w:rPr>
              <w:t>协调</w:t>
            </w:r>
            <w:r>
              <w:rPr>
                <w:rFonts w:hint="eastAsia" w:ascii="仿宋_GB2312" w:hAnsi="仿宋" w:eastAsia="仿宋_GB2312" w:cs="Calibri"/>
                <w:b w:val="0"/>
                <w:bCs/>
                <w:sz w:val="21"/>
                <w:szCs w:val="21"/>
                <w:lang w:val="en-US" w:eastAsia="zh-CN"/>
              </w:rPr>
              <w:t>做好管线安全隐患工作</w:t>
            </w:r>
            <w:r>
              <w:rPr>
                <w:rFonts w:hint="eastAsia" w:ascii="仿宋_GB2312" w:hAnsi="仿宋" w:eastAsia="仿宋_GB2312" w:cs="Calibri"/>
                <w:b w:val="0"/>
                <w:bCs/>
                <w:sz w:val="21"/>
                <w:szCs w:val="21"/>
              </w:rPr>
              <w:t>。</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leftChars="0" w:right="0" w:rightChars="0"/>
              <w:jc w:val="left"/>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val="0"/>
                <w:bCs w:val="0"/>
                <w:sz w:val="21"/>
                <w:szCs w:val="21"/>
                <w:lang w:eastAsia="zh-CN"/>
              </w:rPr>
              <w:t>协调处理好了</w:t>
            </w:r>
            <w:r>
              <w:rPr>
                <w:rFonts w:hint="eastAsia" w:ascii="仿宋_GB2312" w:hAnsi="仿宋_GB2312" w:eastAsia="仿宋_GB2312" w:cs="仿宋_GB2312"/>
                <w:sz w:val="21"/>
                <w:szCs w:val="21"/>
              </w:rPr>
              <w:t>北干道管线安全隐患整治、含油污水线拆除及环境美化亮化、</w:t>
            </w:r>
            <w:r>
              <w:rPr>
                <w:rFonts w:hint="eastAsia" w:ascii="仿宋_GB2312" w:hAnsi="仿宋_GB2312" w:eastAsia="仿宋_GB2312" w:cs="仿宋_GB2312"/>
                <w:spacing w:val="-4"/>
                <w:sz w:val="21"/>
                <w:szCs w:val="21"/>
              </w:rPr>
              <w:t>原屠宰场仓库、围墙</w:t>
            </w:r>
            <w:r>
              <w:rPr>
                <w:rFonts w:hint="eastAsia" w:ascii="仿宋_GB2312" w:hAnsi="仿宋_GB2312" w:eastAsia="仿宋_GB2312" w:cs="仿宋_GB2312"/>
                <w:sz w:val="21"/>
                <w:szCs w:val="21"/>
              </w:rPr>
              <w:t>安全</w:t>
            </w:r>
            <w:r>
              <w:rPr>
                <w:rFonts w:hint="eastAsia" w:ascii="仿宋_GB2312" w:hAnsi="仿宋_GB2312" w:eastAsia="仿宋_GB2312" w:cs="仿宋_GB2312"/>
                <w:spacing w:val="-4"/>
                <w:sz w:val="21"/>
                <w:szCs w:val="21"/>
              </w:rPr>
              <w:t>隐患整治、工业园110</w:t>
            </w:r>
            <w:r>
              <w:rPr>
                <w:rFonts w:hint="eastAsia" w:ascii="仿宋_GB2312" w:hAnsi="仿宋_GB2312" w:eastAsia="仿宋_GB2312" w:cs="仿宋_GB2312"/>
                <w:sz w:val="21"/>
                <w:szCs w:val="21"/>
              </w:rPr>
              <w:t>KV架峡长线安全隐患整治、长陆长岳线防腐检修项目、长陆35KV架空线移位及航煤管线项目投诉问题、等</w:t>
            </w:r>
            <w:r>
              <w:rPr>
                <w:rFonts w:hint="eastAsia" w:ascii="仿宋_GB2312" w:hAnsi="仿宋_GB2312" w:eastAsia="仿宋_GB2312" w:cs="仿宋_GB2312"/>
                <w:sz w:val="21"/>
                <w:szCs w:val="21"/>
                <w:lang w:val="en-US" w:eastAsia="zh-CN"/>
              </w:rPr>
              <w:t>矛盾纠纷，</w:t>
            </w:r>
            <w:r>
              <w:rPr>
                <w:rFonts w:hint="eastAsia" w:ascii="仿宋_GB2312" w:hAnsi="仿宋_GB2312" w:eastAsia="仿宋_GB2312" w:cs="仿宋_GB2312"/>
                <w:b w:val="0"/>
                <w:bCs w:val="0"/>
                <w:sz w:val="21"/>
                <w:szCs w:val="21"/>
                <w:lang w:val="en-US" w:eastAsia="zh-CN"/>
              </w:rPr>
              <w:t>消除安全隐患。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3"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left"/>
              <w:textAlignment w:val="center"/>
              <w:rPr>
                <w:rFonts w:hint="default" w:ascii="仿宋_GB2312" w:hAnsi="仿宋_GB2312" w:eastAsia="仿宋_GB2312" w:cs="仿宋_GB2312"/>
                <w:b/>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6"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vMerge w:val="continue"/>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sz w:val="24"/>
              </w:rPr>
            </w:pPr>
          </w:p>
        </w:tc>
        <w:tc>
          <w:tcPr>
            <w:tcW w:w="2709" w:type="dxa"/>
            <w:gridSpan w:val="4"/>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restart"/>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keepNext w:val="0"/>
              <w:keepLines w:val="0"/>
              <w:suppressLineNumbers w:val="0"/>
              <w:autoSpaceDN w:val="0"/>
              <w:spacing w:before="0" w:beforeAutospacing="0" w:after="0" w:afterAutospacing="0" w:line="24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控制在预算内</w:t>
            </w:r>
          </w:p>
        </w:tc>
        <w:tc>
          <w:tcPr>
            <w:tcW w:w="2684" w:type="dxa"/>
            <w:gridSpan w:val="6"/>
            <w:noWrap w:val="0"/>
            <w:vAlign w:val="center"/>
          </w:tcPr>
          <w:p>
            <w:pPr>
              <w:keepNext w:val="0"/>
              <w:keepLines w:val="0"/>
              <w:suppressLineNumbers w:val="0"/>
              <w:autoSpaceDN w:val="0"/>
              <w:spacing w:before="0" w:beforeAutospacing="0" w:after="0" w:afterAutospacing="0" w:line="240" w:lineRule="exact"/>
              <w:ind w:left="0" w:right="0"/>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sz w:val="24"/>
              </w:rPr>
            </w:pPr>
          </w:p>
        </w:tc>
        <w:tc>
          <w:tcPr>
            <w:tcW w:w="1549" w:type="dxa"/>
            <w:gridSpan w:val="3"/>
            <w:vMerge w:val="continue"/>
            <w:noWrap w:val="0"/>
            <w:vAlign w:val="center"/>
          </w:tcPr>
          <w:p>
            <w:pPr>
              <w:keepNext w:val="0"/>
              <w:keepLines w:val="0"/>
              <w:suppressLineNumbers w:val="0"/>
              <w:autoSpaceDN w:val="0"/>
              <w:spacing w:before="0" w:beforeAutospacing="0" w:after="0" w:afterAutospacing="0" w:line="320" w:lineRule="exact"/>
              <w:ind w:left="0" w:right="0"/>
              <w:rPr>
                <w:rFonts w:hint="eastAsia" w:ascii="仿宋_GB2312" w:hAnsi="仿宋_GB2312" w:eastAsia="仿宋_GB2312" w:cs="仿宋_GB2312"/>
                <w:sz w:val="24"/>
              </w:rPr>
            </w:pPr>
          </w:p>
        </w:tc>
        <w:tc>
          <w:tcPr>
            <w:tcW w:w="1417"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keepNext w:val="0"/>
              <w:keepLines w:val="0"/>
              <w:suppressLineNumbers w:val="0"/>
              <w:autoSpaceDN w:val="0"/>
              <w:spacing w:before="0" w:beforeAutospacing="0" w:after="0" w:afterAutospacing="0" w:line="24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办理“12345”公众热线。</w:t>
            </w:r>
          </w:p>
        </w:tc>
        <w:tc>
          <w:tcPr>
            <w:tcW w:w="2684" w:type="dxa"/>
            <w:gridSpan w:val="6"/>
            <w:noWrap w:val="0"/>
            <w:vAlign w:val="center"/>
          </w:tcPr>
          <w:p>
            <w:pPr>
              <w:keepNext w:val="0"/>
              <w:keepLines w:val="0"/>
              <w:suppressLineNumbers w:val="0"/>
              <w:autoSpaceDN w:val="0"/>
              <w:spacing w:before="0" w:beforeAutospacing="0" w:after="0" w:afterAutospacing="0" w:line="240" w:lineRule="exact"/>
              <w:ind w:left="0" w:right="0"/>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办理好</w:t>
            </w:r>
            <w:r>
              <w:rPr>
                <w:rFonts w:hint="eastAsia" w:ascii="仿宋_GB2312" w:hAnsi="仿宋_GB2312" w:eastAsia="仿宋_GB2312" w:cs="仿宋_GB2312"/>
                <w:color w:val="000000"/>
                <w:sz w:val="24"/>
                <w:lang w:val="en-US" w:eastAsia="zh-CN"/>
              </w:rPr>
              <w:t>人大建议案一件，处理</w:t>
            </w:r>
            <w:r>
              <w:rPr>
                <w:rFonts w:hint="eastAsia" w:ascii="仿宋_GB2312" w:hAnsi="仿宋_GB2312" w:eastAsia="仿宋_GB2312" w:cs="仿宋_GB2312"/>
                <w:color w:val="000000"/>
                <w:sz w:val="24"/>
              </w:rPr>
              <w:t>“12345”热线</w:t>
            </w:r>
            <w:r>
              <w:rPr>
                <w:rFonts w:hint="eastAsia" w:ascii="仿宋_GB2312" w:hAnsi="仿宋_GB2312" w:eastAsia="仿宋_GB2312" w:cs="仿宋_GB2312"/>
                <w:color w:val="000000"/>
                <w:sz w:val="24"/>
                <w:lang w:val="en-US" w:eastAsia="zh-CN"/>
              </w:rPr>
              <w:t>16起</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00" w:type="dxa"/>
            <w:gridSpan w:val="14"/>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1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朱永祥</w:t>
            </w:r>
          </w:p>
        </w:tc>
        <w:tc>
          <w:tcPr>
            <w:tcW w:w="3515" w:type="dxa"/>
            <w:gridSpan w:val="5"/>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val="en-US" w:eastAsia="zh-CN"/>
              </w:rPr>
              <w:t>副主任</w:t>
            </w:r>
          </w:p>
        </w:tc>
        <w:tc>
          <w:tcPr>
            <w:tcW w:w="1479"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kern w:val="2"/>
                <w:sz w:val="21"/>
                <w:szCs w:val="24"/>
                <w:lang w:val="en-US" w:eastAsia="zh-CN" w:bidi="ar-SA"/>
              </w:rPr>
            </w:pPr>
            <w:r>
              <w:rPr>
                <w:rFonts w:hint="eastAsia" w:ascii="仿宋" w:hAnsi="仿宋" w:eastAsia="仿宋" w:cs="仿宋_GB2312"/>
                <w:color w:val="000000"/>
                <w:sz w:val="24"/>
              </w:rPr>
              <w:t>区长炼协作</w:t>
            </w:r>
            <w:r>
              <w:rPr>
                <w:rFonts w:hint="eastAsia" w:ascii="仿宋" w:hAnsi="仿宋" w:eastAsia="仿宋" w:cs="仿宋_GB2312"/>
                <w:color w:val="000000"/>
                <w:sz w:val="24"/>
                <w:lang w:val="en-US" w:eastAsia="zh-CN"/>
              </w:rPr>
              <w:t>协调事务中心</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刘  静</w:t>
            </w:r>
          </w:p>
        </w:tc>
        <w:tc>
          <w:tcPr>
            <w:tcW w:w="3515" w:type="dxa"/>
            <w:gridSpan w:val="5"/>
            <w:noWrap w:val="0"/>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副主任</w:t>
            </w:r>
          </w:p>
        </w:tc>
        <w:tc>
          <w:tcPr>
            <w:tcW w:w="1479"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kern w:val="2"/>
                <w:sz w:val="21"/>
                <w:szCs w:val="24"/>
                <w:lang w:val="en-US" w:eastAsia="zh-CN" w:bidi="ar-SA"/>
              </w:rPr>
            </w:pPr>
            <w:r>
              <w:rPr>
                <w:rFonts w:hint="eastAsia" w:ascii="仿宋" w:hAnsi="仿宋" w:eastAsia="仿宋" w:cs="仿宋_GB2312"/>
                <w:color w:val="000000"/>
                <w:sz w:val="24"/>
              </w:rPr>
              <w:t>区长炼协作</w:t>
            </w:r>
            <w:r>
              <w:rPr>
                <w:rFonts w:hint="eastAsia" w:ascii="仿宋" w:hAnsi="仿宋" w:eastAsia="仿宋" w:cs="仿宋_GB2312"/>
                <w:color w:val="000000"/>
                <w:sz w:val="24"/>
                <w:lang w:val="en-US" w:eastAsia="zh-CN"/>
              </w:rPr>
              <w:t>协调事务中心</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宋  鸽</w:t>
            </w:r>
          </w:p>
        </w:tc>
        <w:tc>
          <w:tcPr>
            <w:tcW w:w="351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w:t>
            </w: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 w:hAnsi="仿宋" w:eastAsia="仿宋" w:cs="仿宋_GB2312"/>
                <w:color w:val="000000"/>
                <w:sz w:val="24"/>
              </w:rPr>
              <w:t>区长炼协作</w:t>
            </w:r>
            <w:r>
              <w:rPr>
                <w:rFonts w:hint="eastAsia" w:ascii="仿宋" w:hAnsi="仿宋" w:eastAsia="仿宋" w:cs="仿宋_GB2312"/>
                <w:color w:val="000000"/>
                <w:sz w:val="24"/>
                <w:lang w:val="en-US" w:eastAsia="zh-CN"/>
              </w:rPr>
              <w:t>协调事务中心</w:t>
            </w: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700" w:type="dxa"/>
            <w:gridSpan w:val="2"/>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515" w:type="dxa"/>
            <w:gridSpan w:val="5"/>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1479" w:type="dxa"/>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2"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noWrap w:val="0"/>
            <w:vAlign w:val="center"/>
          </w:tcPr>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r>
              <w:rPr>
                <w:rFonts w:hint="eastAsia" w:ascii="Calibri" w:hAnsi="Calibri" w:eastAsia="仿宋_GB2312" w:cs="Calibri"/>
                <w:sz w:val="24"/>
              </w:rPr>
              <w:t>财政部门归口业务股室意见：</w:t>
            </w: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p>
          <w:p>
            <w:pPr>
              <w:keepNext w:val="0"/>
              <w:keepLines w:val="0"/>
              <w:suppressLineNumbers w:val="0"/>
              <w:spacing w:before="0" w:beforeAutospacing="0" w:after="0" w:afterAutospacing="0" w:line="320" w:lineRule="exact"/>
              <w:ind w:left="0" w:right="0"/>
              <w:rPr>
                <w:rFonts w:hint="eastAsia" w:ascii="Calibri" w:hAnsi="Calibri" w:eastAsia="仿宋_GB2312" w:cs="Calibri"/>
                <w:sz w:val="24"/>
              </w:rPr>
            </w:pPr>
            <w:r>
              <w:rPr>
                <w:rFonts w:hint="eastAsia" w:ascii="Calibri" w:hAnsi="Calibri" w:eastAsia="仿宋_GB2312" w:cs="Calibri"/>
                <w:sz w:val="24"/>
              </w:rPr>
              <w:t xml:space="preserve">                                  财政部门归口业务股室负责人（签章）：</w:t>
            </w:r>
          </w:p>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000000"/>
                <w:sz w:val="24"/>
              </w:rPr>
            </w:pPr>
            <w:r>
              <w:rPr>
                <w:rFonts w:hint="eastAsia" w:ascii="Calibri" w:hAnsi="Calibri" w:eastAsia="仿宋_GB2312" w:cs="Calibri"/>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8452866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suppressLineNumbers w:val="0"/>
              <w:spacing w:before="0" w:beforeAutospacing="0" w:after="0" w:afterAutospacing="0" w:line="440" w:lineRule="exact"/>
              <w:ind w:left="0" w:right="0" w:firstLine="640" w:firstLineChars="200"/>
              <w:rPr>
                <w:rFonts w:hint="eastAsia" w:ascii="Calibri" w:hAnsi="Calibri" w:eastAsia="仿宋_GB2312" w:cs="Calibri"/>
                <w:sz w:val="32"/>
                <w:szCs w:val="32"/>
              </w:rPr>
            </w:pPr>
          </w:p>
          <w:p>
            <w:pPr>
              <w:keepNext w:val="0"/>
              <w:keepLines w:val="0"/>
              <w:suppressLineNumbers w:val="0"/>
              <w:spacing w:before="0" w:beforeAutospacing="0" w:after="0" w:afterAutospacing="0" w:line="400" w:lineRule="exact"/>
              <w:ind w:left="0" w:right="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一、单位概况</w:t>
            </w:r>
          </w:p>
          <w:p>
            <w:pPr>
              <w:keepNext w:val="0"/>
              <w:keepLines w:val="0"/>
              <w:suppressLineNumbers w:val="0"/>
              <w:spacing w:before="0" w:beforeAutospacing="0" w:after="0" w:afterAutospacing="0" w:line="3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keepNext w:val="0"/>
              <w:keepLines w:val="0"/>
              <w:suppressLineNumbers w:val="0"/>
              <w:spacing w:before="0" w:beforeAutospacing="0" w:after="0" w:afterAutospacing="0" w:line="360" w:lineRule="exact"/>
              <w:ind w:left="0" w:right="0" w:firstLine="560" w:firstLineChars="200"/>
              <w:rPr>
                <w:rFonts w:hint="eastAsia" w:ascii="仿宋_GB2312" w:hAnsi="Calibri" w:eastAsia="仿宋_GB2312" w:cs="Calibri"/>
                <w:sz w:val="28"/>
                <w:szCs w:val="28"/>
              </w:rPr>
            </w:pPr>
            <w:r>
              <w:rPr>
                <w:rFonts w:hint="eastAsia" w:ascii="仿宋_GB2312" w:hAnsi="Calibri" w:eastAsia="仿宋_GB2312" w:cs="Calibri"/>
                <w:sz w:val="28"/>
                <w:szCs w:val="28"/>
              </w:rPr>
              <w:t>长岭炼化协作协调</w:t>
            </w:r>
            <w:r>
              <w:rPr>
                <w:rFonts w:hint="eastAsia" w:ascii="仿宋_GB2312" w:hAnsi="Calibri" w:eastAsia="仿宋_GB2312" w:cs="Calibri"/>
                <w:sz w:val="28"/>
                <w:szCs w:val="28"/>
                <w:lang w:val="en-US" w:eastAsia="zh-CN"/>
              </w:rPr>
              <w:t>事务中心</w:t>
            </w:r>
            <w:r>
              <w:rPr>
                <w:rFonts w:hint="eastAsia" w:ascii="仿宋_GB2312" w:hAnsi="Calibri" w:eastAsia="仿宋_GB2312" w:cs="Calibri"/>
                <w:sz w:val="28"/>
                <w:szCs w:val="28"/>
              </w:rPr>
              <w:t>，主要负责长岭炼化公司与地方部门和周边乡镇、村组的矛盾纠纷协调以及地方与大厂的经济技术协作工作。全额拨款事业单位。</w:t>
            </w:r>
          </w:p>
          <w:p>
            <w:pPr>
              <w:keepNext w:val="0"/>
              <w:keepLines w:val="0"/>
              <w:suppressLineNumbers w:val="0"/>
              <w:spacing w:before="0" w:beforeAutospacing="0" w:after="0" w:afterAutospacing="0" w:line="3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（二）单位整体支出规模、使用方向和主要内容、涉及范围等</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lang w:val="en-US" w:eastAsia="zh-CN"/>
              </w:rPr>
              <w:t>2022</w:t>
            </w:r>
            <w:r>
              <w:rPr>
                <w:rFonts w:hint="eastAsia" w:ascii="仿宋_GB2312" w:eastAsia="仿宋_GB2312"/>
                <w:color w:val="222222"/>
                <w:sz w:val="28"/>
                <w:szCs w:val="28"/>
              </w:rPr>
              <w:t>年收入总计</w:t>
            </w:r>
            <w:r>
              <w:rPr>
                <w:rFonts w:hint="eastAsia" w:ascii="仿宋_GB2312" w:eastAsia="仿宋_GB2312"/>
                <w:color w:val="222222"/>
                <w:sz w:val="28"/>
                <w:szCs w:val="28"/>
                <w:lang w:val="en-US" w:eastAsia="zh-CN"/>
              </w:rPr>
              <w:t>135.74</w:t>
            </w:r>
            <w:r>
              <w:rPr>
                <w:rFonts w:hint="eastAsia" w:ascii="仿宋_GB2312" w:eastAsia="仿宋_GB2312"/>
                <w:color w:val="222222"/>
                <w:sz w:val="28"/>
                <w:szCs w:val="28"/>
              </w:rPr>
              <w:t>万元，其中公共财政拨款收入</w:t>
            </w:r>
            <w:r>
              <w:rPr>
                <w:rFonts w:hint="eastAsia" w:ascii="仿宋_GB2312" w:eastAsia="仿宋_GB2312"/>
                <w:color w:val="222222"/>
                <w:sz w:val="28"/>
                <w:szCs w:val="28"/>
                <w:lang w:val="en-US" w:eastAsia="zh-CN"/>
              </w:rPr>
              <w:t>135.74</w:t>
            </w:r>
            <w:r>
              <w:rPr>
                <w:rFonts w:hint="eastAsia" w:ascii="仿宋_GB2312" w:eastAsia="仿宋_GB2312"/>
                <w:color w:val="222222"/>
                <w:sz w:val="28"/>
                <w:szCs w:val="28"/>
              </w:rPr>
              <w:t>万元。全年总支出</w:t>
            </w:r>
            <w:r>
              <w:rPr>
                <w:rFonts w:hint="eastAsia" w:ascii="仿宋_GB2312" w:eastAsia="仿宋_GB2312"/>
                <w:color w:val="222222"/>
                <w:sz w:val="28"/>
                <w:szCs w:val="28"/>
                <w:lang w:val="en-US" w:eastAsia="zh-CN"/>
              </w:rPr>
              <w:t>135.74</w:t>
            </w:r>
            <w:r>
              <w:rPr>
                <w:rFonts w:hint="eastAsia" w:ascii="仿宋_GB2312" w:eastAsia="仿宋_GB2312"/>
                <w:color w:val="222222"/>
                <w:sz w:val="28"/>
                <w:szCs w:val="28"/>
              </w:rPr>
              <w:t>万元，其中人员支出</w:t>
            </w:r>
            <w:r>
              <w:rPr>
                <w:rFonts w:hint="eastAsia" w:ascii="仿宋_GB2312" w:eastAsia="仿宋_GB2312"/>
                <w:color w:val="222222"/>
                <w:sz w:val="28"/>
                <w:szCs w:val="28"/>
                <w:lang w:val="en-US" w:eastAsia="zh-CN"/>
              </w:rPr>
              <w:t>93.74</w:t>
            </w:r>
            <w:r>
              <w:rPr>
                <w:rFonts w:hint="eastAsia" w:ascii="仿宋_GB2312" w:eastAsia="仿宋_GB2312"/>
                <w:color w:val="222222"/>
                <w:sz w:val="28"/>
                <w:szCs w:val="28"/>
              </w:rPr>
              <w:t>万元，公用支出</w:t>
            </w:r>
            <w:r>
              <w:rPr>
                <w:rFonts w:hint="eastAsia" w:ascii="仿宋_GB2312" w:eastAsia="仿宋_GB2312"/>
                <w:color w:val="222222"/>
                <w:sz w:val="28"/>
                <w:szCs w:val="28"/>
                <w:lang w:val="en-US" w:eastAsia="zh-CN"/>
              </w:rPr>
              <w:t>42</w:t>
            </w:r>
            <w:r>
              <w:rPr>
                <w:rFonts w:hint="eastAsia" w:ascii="仿宋_GB2312" w:eastAsia="仿宋_GB2312"/>
                <w:color w:val="222222"/>
                <w:sz w:val="28"/>
                <w:szCs w:val="28"/>
              </w:rPr>
              <w:t>万元。</w:t>
            </w:r>
          </w:p>
          <w:p>
            <w:pPr>
              <w:keepNext w:val="0"/>
              <w:keepLines w:val="0"/>
              <w:suppressLineNumbers w:val="0"/>
              <w:spacing w:before="0" w:beforeAutospacing="0" w:after="0" w:afterAutospacing="0" w:line="360" w:lineRule="exact"/>
              <w:ind w:left="0" w:right="0" w:firstLine="562" w:firstLineChars="200"/>
              <w:rPr>
                <w:rFonts w:hint="eastAsia" w:ascii="仿宋_GB2312" w:hAnsi="黑体" w:eastAsia="仿宋_GB2312" w:cs="黑体"/>
                <w:b/>
                <w:bCs w:val="0"/>
                <w:sz w:val="28"/>
                <w:szCs w:val="28"/>
              </w:rPr>
            </w:pPr>
            <w:r>
              <w:rPr>
                <w:rFonts w:hint="eastAsia" w:ascii="仿宋_GB2312" w:hAnsi="黑体" w:eastAsia="仿宋_GB2312" w:cs="黑体"/>
                <w:b/>
                <w:bCs w:val="0"/>
                <w:sz w:val="28"/>
                <w:szCs w:val="28"/>
              </w:rPr>
              <w:t>二、单位整体支出管理及使用情况</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rPr>
              <w:t>基本支出共计</w:t>
            </w:r>
            <w:r>
              <w:rPr>
                <w:rFonts w:hint="eastAsia" w:ascii="仿宋_GB2312" w:eastAsia="仿宋_GB2312"/>
                <w:color w:val="222222"/>
                <w:sz w:val="28"/>
                <w:szCs w:val="28"/>
                <w:lang w:val="en-US" w:eastAsia="zh-CN"/>
              </w:rPr>
              <w:t>135.74</w:t>
            </w:r>
            <w:r>
              <w:rPr>
                <w:rFonts w:hint="eastAsia" w:ascii="仿宋_GB2312" w:eastAsia="仿宋_GB2312"/>
                <w:color w:val="222222"/>
                <w:sz w:val="28"/>
                <w:szCs w:val="28"/>
              </w:rPr>
              <w:t>元，其中人员支出</w:t>
            </w:r>
            <w:r>
              <w:rPr>
                <w:rFonts w:hint="eastAsia" w:ascii="仿宋_GB2312" w:eastAsia="仿宋_GB2312"/>
                <w:color w:val="222222"/>
                <w:sz w:val="28"/>
                <w:szCs w:val="28"/>
                <w:lang w:val="en-US" w:eastAsia="zh-CN"/>
              </w:rPr>
              <w:t>93.74万</w:t>
            </w:r>
            <w:r>
              <w:rPr>
                <w:rFonts w:hint="eastAsia" w:ascii="仿宋_GB2312" w:eastAsia="仿宋_GB2312"/>
                <w:color w:val="222222"/>
                <w:sz w:val="28"/>
                <w:szCs w:val="28"/>
              </w:rPr>
              <w:t>元，公用支出</w:t>
            </w:r>
            <w:r>
              <w:rPr>
                <w:rFonts w:hint="eastAsia" w:ascii="仿宋_GB2312" w:eastAsia="仿宋_GB2312"/>
                <w:color w:val="222222"/>
                <w:sz w:val="28"/>
                <w:szCs w:val="28"/>
                <w:lang w:val="en-US" w:eastAsia="zh-CN"/>
              </w:rPr>
              <w:t>42</w:t>
            </w:r>
            <w:bookmarkStart w:id="0" w:name="_GoBack"/>
            <w:bookmarkEnd w:id="0"/>
            <w:r>
              <w:rPr>
                <w:rFonts w:hint="eastAsia" w:ascii="仿宋_GB2312" w:eastAsia="仿宋_GB2312"/>
                <w:color w:val="222222"/>
                <w:sz w:val="28"/>
                <w:szCs w:val="28"/>
              </w:rPr>
              <w:t>万元。</w:t>
            </w:r>
          </w:p>
          <w:p>
            <w:pPr>
              <w:keepNext w:val="0"/>
              <w:keepLines w:val="0"/>
              <w:suppressLineNumbers w:val="0"/>
              <w:spacing w:before="0" w:beforeAutospacing="0" w:after="0" w:afterAutospacing="0" w:line="360" w:lineRule="exact"/>
              <w:ind w:left="0" w:right="0" w:firstLine="562" w:firstLineChars="200"/>
              <w:rPr>
                <w:rFonts w:hint="eastAsia" w:ascii="仿宋_GB2312" w:hAnsi="黑体" w:eastAsia="仿宋_GB2312" w:cs="黑体"/>
                <w:b/>
                <w:bCs w:val="0"/>
                <w:sz w:val="28"/>
                <w:szCs w:val="28"/>
              </w:rPr>
            </w:pPr>
            <w:r>
              <w:rPr>
                <w:rFonts w:hint="eastAsia" w:ascii="仿宋_GB2312" w:hAnsi="黑体" w:eastAsia="仿宋_GB2312" w:cs="黑体"/>
                <w:b/>
                <w:bCs w:val="0"/>
                <w:sz w:val="28"/>
                <w:szCs w:val="28"/>
              </w:rPr>
              <w:t>三、单位整体支出绩效情况</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rPr>
              <w:t>我</w:t>
            </w:r>
            <w:r>
              <w:rPr>
                <w:rFonts w:hint="eastAsia" w:ascii="仿宋_GB2312" w:eastAsia="仿宋_GB2312"/>
                <w:color w:val="222222"/>
                <w:sz w:val="28"/>
                <w:szCs w:val="28"/>
                <w:lang w:val="en-US" w:eastAsia="zh-CN"/>
              </w:rPr>
              <w:t>中心</w:t>
            </w:r>
            <w:r>
              <w:rPr>
                <w:rFonts w:hint="eastAsia" w:ascii="仿宋_GB2312" w:eastAsia="仿宋_GB2312"/>
                <w:color w:val="222222"/>
                <w:sz w:val="28"/>
                <w:szCs w:val="28"/>
              </w:rPr>
              <w:t>充分履行职责职能,严格按财经法规及制度使用、管理资金,成效明显,主要体现在以下几个方面：</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rPr>
              <w:t>1、狠抓资金使用效益。表现在:一是保障了干部职工工资,津补贴的及时足额发放,没有出现拖欠工资现象；二是保障了单位的正常运转,各项工作开展顺利。三是</w:t>
            </w:r>
            <w:r>
              <w:rPr>
                <w:rFonts w:hint="eastAsia" w:ascii="仿宋_GB2312" w:eastAsia="仿宋_GB2312"/>
                <w:color w:val="222222"/>
                <w:sz w:val="28"/>
                <w:szCs w:val="28"/>
                <w:lang w:val="en-US" w:eastAsia="zh-CN"/>
              </w:rPr>
              <w:t>严格执行财经纪律，</w:t>
            </w:r>
            <w:r>
              <w:rPr>
                <w:rFonts w:hint="eastAsia" w:ascii="仿宋_GB2312" w:eastAsia="仿宋_GB2312"/>
                <w:color w:val="222222"/>
                <w:sz w:val="28"/>
                <w:szCs w:val="28"/>
              </w:rPr>
              <w:t>资金使用无虚列支出及随意使用现象。</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rPr>
              <w:t>2、资金使用</w:t>
            </w:r>
            <w:r>
              <w:rPr>
                <w:rFonts w:hint="eastAsia" w:ascii="仿宋_GB2312" w:eastAsia="仿宋_GB2312"/>
                <w:color w:val="222222"/>
                <w:sz w:val="28"/>
                <w:szCs w:val="28"/>
                <w:lang w:val="en-US" w:eastAsia="zh-CN"/>
              </w:rPr>
              <w:t>合理，</w:t>
            </w:r>
            <w:r>
              <w:rPr>
                <w:rFonts w:hint="eastAsia" w:ascii="仿宋_GB2312" w:eastAsia="仿宋_GB2312"/>
                <w:color w:val="222222"/>
                <w:sz w:val="28"/>
                <w:szCs w:val="28"/>
              </w:rPr>
              <w:t>圆满完成全年工作任务。</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b/>
                <w:bCs/>
                <w:color w:val="222222"/>
                <w:sz w:val="28"/>
                <w:szCs w:val="28"/>
              </w:rPr>
            </w:pPr>
            <w:r>
              <w:rPr>
                <w:rFonts w:hint="eastAsia" w:ascii="仿宋_GB2312" w:eastAsia="仿宋_GB2312"/>
                <w:b/>
                <w:bCs/>
                <w:color w:val="222222"/>
                <w:sz w:val="28"/>
                <w:szCs w:val="28"/>
              </w:rPr>
              <w:t>四、存在的主要问题</w:t>
            </w:r>
          </w:p>
          <w:p>
            <w:pPr>
              <w:pStyle w:val="5"/>
              <w:keepNext w:val="0"/>
              <w:keepLines w:val="0"/>
              <w:suppressLineNumbers w:val="0"/>
              <w:shd w:val="clear" w:color="auto" w:fill="FFFFFF"/>
              <w:spacing w:before="0" w:beforeAutospacing="0" w:after="0" w:afterAutospacing="0" w:line="360" w:lineRule="exact"/>
              <w:ind w:left="0" w:right="0" w:firstLine="480"/>
              <w:rPr>
                <w:rFonts w:hint="eastAsia" w:ascii="仿宋_GB2312" w:eastAsia="仿宋_GB2312"/>
                <w:color w:val="222222"/>
                <w:sz w:val="28"/>
                <w:szCs w:val="28"/>
              </w:rPr>
            </w:pPr>
            <w:r>
              <w:rPr>
                <w:rFonts w:hint="eastAsia" w:ascii="仿宋_GB2312" w:eastAsia="仿宋_GB2312"/>
                <w:color w:val="222222"/>
                <w:sz w:val="28"/>
                <w:szCs w:val="28"/>
              </w:rPr>
              <w:t>存在资金交叉使用现象，未对口使用。</w:t>
            </w:r>
          </w:p>
          <w:p>
            <w:pPr>
              <w:keepNext w:val="0"/>
              <w:keepLines w:val="0"/>
              <w:suppressLineNumbers w:val="0"/>
              <w:spacing w:before="0" w:beforeAutospacing="0" w:after="0" w:afterAutospacing="0"/>
              <w:ind w:left="0" w:right="0"/>
              <w:rPr>
                <w:rFonts w:hint="default" w:ascii="Calibri" w:hAnsi="Calibri" w:eastAsia="楷体_GB2312" w:cs="Calibri"/>
                <w:bCs/>
                <w:sz w:val="28"/>
                <w:szCs w:val="28"/>
              </w:rPr>
            </w:pPr>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w:t>
            </w:r>
            <w:r>
              <w:rPr>
                <w:rFonts w:hint="eastAsia" w:ascii="仿宋_GB2312" w:hAnsi="宋体" w:eastAsia="仿宋_GB2312" w:cs="宋体"/>
                <w:kern w:val="0"/>
                <w:sz w:val="18"/>
                <w:szCs w:val="18"/>
                <w:lang w:val="en-US" w:eastAsia="zh-CN"/>
              </w:rPr>
              <w:t>2021</w:t>
            </w:r>
            <w:r>
              <w:rPr>
                <w:rFonts w:hint="eastAsia" w:ascii="仿宋_GB2312" w:hAnsi="宋体" w:eastAsia="仿宋_GB2312" w:cs="宋体"/>
                <w:kern w:val="0"/>
                <w:sz w:val="18"/>
                <w:szCs w:val="18"/>
              </w:rPr>
              <w:t>年度综合绩效考核工作的通知》考核内容设置。</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部门单位应根据部门实际进行调整，并将其细化成相应的个性化指标</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200" w:lineRule="exact"/>
        <w:contextualSpacing/>
        <w:jc w:val="right"/>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37</w:t>
    </w:r>
    <w:r>
      <w:rPr>
        <w:sz w:val="24"/>
        <w:szCs w:val="24"/>
      </w:rPr>
      <w:fldChar w:fldCharType="end"/>
    </w:r>
    <w:r>
      <w:rPr>
        <w:rStyle w:val="9"/>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34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jVjOWYwZGU1M2E2NWJkNzMzMDI5ZTA4NTMxNDkifQ=="/>
  </w:docVars>
  <w:rsids>
    <w:rsidRoot w:val="002841F0"/>
    <w:rsid w:val="00017F19"/>
    <w:rsid w:val="000322FE"/>
    <w:rsid w:val="00083A84"/>
    <w:rsid w:val="00095FBA"/>
    <w:rsid w:val="000975B6"/>
    <w:rsid w:val="000A7A67"/>
    <w:rsid w:val="000B0058"/>
    <w:rsid w:val="000B0F8D"/>
    <w:rsid w:val="000F5FF6"/>
    <w:rsid w:val="001A521A"/>
    <w:rsid w:val="001B7CED"/>
    <w:rsid w:val="00217BDF"/>
    <w:rsid w:val="00245DD6"/>
    <w:rsid w:val="00253BA0"/>
    <w:rsid w:val="002841F0"/>
    <w:rsid w:val="002A26C5"/>
    <w:rsid w:val="002B0015"/>
    <w:rsid w:val="002C29C8"/>
    <w:rsid w:val="002D39E9"/>
    <w:rsid w:val="002E2754"/>
    <w:rsid w:val="00323747"/>
    <w:rsid w:val="00381C01"/>
    <w:rsid w:val="003C18A0"/>
    <w:rsid w:val="00402332"/>
    <w:rsid w:val="00403204"/>
    <w:rsid w:val="0040466A"/>
    <w:rsid w:val="00424CB9"/>
    <w:rsid w:val="00475C30"/>
    <w:rsid w:val="004765CE"/>
    <w:rsid w:val="00477D46"/>
    <w:rsid w:val="004A4064"/>
    <w:rsid w:val="004D6EF5"/>
    <w:rsid w:val="0057564F"/>
    <w:rsid w:val="00583D39"/>
    <w:rsid w:val="005938EF"/>
    <w:rsid w:val="005C3239"/>
    <w:rsid w:val="005C6C45"/>
    <w:rsid w:val="005E19CE"/>
    <w:rsid w:val="00605269"/>
    <w:rsid w:val="00625AFB"/>
    <w:rsid w:val="00641ABF"/>
    <w:rsid w:val="006622CD"/>
    <w:rsid w:val="00680C7E"/>
    <w:rsid w:val="006D40DF"/>
    <w:rsid w:val="00736F10"/>
    <w:rsid w:val="0074439A"/>
    <w:rsid w:val="00780DF4"/>
    <w:rsid w:val="007B0791"/>
    <w:rsid w:val="007C323E"/>
    <w:rsid w:val="007D6ADE"/>
    <w:rsid w:val="007D6C40"/>
    <w:rsid w:val="007E5E22"/>
    <w:rsid w:val="007F5622"/>
    <w:rsid w:val="0080259B"/>
    <w:rsid w:val="008073F2"/>
    <w:rsid w:val="008469D8"/>
    <w:rsid w:val="00852EBC"/>
    <w:rsid w:val="008556AF"/>
    <w:rsid w:val="008A783C"/>
    <w:rsid w:val="008F2FB6"/>
    <w:rsid w:val="00953EA1"/>
    <w:rsid w:val="00960AAE"/>
    <w:rsid w:val="009E65BD"/>
    <w:rsid w:val="009E6E31"/>
    <w:rsid w:val="00A02C2D"/>
    <w:rsid w:val="00A161B1"/>
    <w:rsid w:val="00A44677"/>
    <w:rsid w:val="00A60759"/>
    <w:rsid w:val="00A62C5E"/>
    <w:rsid w:val="00A64A64"/>
    <w:rsid w:val="00A82A31"/>
    <w:rsid w:val="00AA29CB"/>
    <w:rsid w:val="00AC0196"/>
    <w:rsid w:val="00AD2412"/>
    <w:rsid w:val="00B00A50"/>
    <w:rsid w:val="00B065A7"/>
    <w:rsid w:val="00B07287"/>
    <w:rsid w:val="00B52021"/>
    <w:rsid w:val="00B92F93"/>
    <w:rsid w:val="00B95CAE"/>
    <w:rsid w:val="00BA3499"/>
    <w:rsid w:val="00BE1AEE"/>
    <w:rsid w:val="00BE62A1"/>
    <w:rsid w:val="00C44F64"/>
    <w:rsid w:val="00CA40F2"/>
    <w:rsid w:val="00CD7AF8"/>
    <w:rsid w:val="00D04CC5"/>
    <w:rsid w:val="00D1035F"/>
    <w:rsid w:val="00D51716"/>
    <w:rsid w:val="00D6084C"/>
    <w:rsid w:val="00E315F0"/>
    <w:rsid w:val="00E3574A"/>
    <w:rsid w:val="00E67A42"/>
    <w:rsid w:val="00EA0819"/>
    <w:rsid w:val="00EA6EB0"/>
    <w:rsid w:val="00EA79DC"/>
    <w:rsid w:val="00ED5EAE"/>
    <w:rsid w:val="00ED6520"/>
    <w:rsid w:val="00EF30CB"/>
    <w:rsid w:val="00EF7C52"/>
    <w:rsid w:val="00F32610"/>
    <w:rsid w:val="00F46049"/>
    <w:rsid w:val="00F862F4"/>
    <w:rsid w:val="00FC2E82"/>
    <w:rsid w:val="016E0C27"/>
    <w:rsid w:val="01E1780D"/>
    <w:rsid w:val="01E46D33"/>
    <w:rsid w:val="028E7519"/>
    <w:rsid w:val="029418F9"/>
    <w:rsid w:val="03312FA5"/>
    <w:rsid w:val="034229C1"/>
    <w:rsid w:val="056B0B30"/>
    <w:rsid w:val="05A54A2B"/>
    <w:rsid w:val="062E2ADC"/>
    <w:rsid w:val="06F95FF9"/>
    <w:rsid w:val="07480E05"/>
    <w:rsid w:val="07E278CA"/>
    <w:rsid w:val="08275445"/>
    <w:rsid w:val="0858423C"/>
    <w:rsid w:val="08904EE5"/>
    <w:rsid w:val="09BC4A90"/>
    <w:rsid w:val="0AA07F0D"/>
    <w:rsid w:val="0B7C1CDB"/>
    <w:rsid w:val="0CAD5A32"/>
    <w:rsid w:val="0CE93D00"/>
    <w:rsid w:val="0DDC3323"/>
    <w:rsid w:val="0E270E6E"/>
    <w:rsid w:val="0E3802EA"/>
    <w:rsid w:val="0F435C3F"/>
    <w:rsid w:val="0FE52EF1"/>
    <w:rsid w:val="10036608"/>
    <w:rsid w:val="1012241A"/>
    <w:rsid w:val="101F681B"/>
    <w:rsid w:val="102B6F19"/>
    <w:rsid w:val="10792C66"/>
    <w:rsid w:val="108033DC"/>
    <w:rsid w:val="11E41C63"/>
    <w:rsid w:val="11F33802"/>
    <w:rsid w:val="12BF1E72"/>
    <w:rsid w:val="12C94E1D"/>
    <w:rsid w:val="12F66175"/>
    <w:rsid w:val="13271272"/>
    <w:rsid w:val="13AB1779"/>
    <w:rsid w:val="14165BA0"/>
    <w:rsid w:val="147D6BDD"/>
    <w:rsid w:val="14BB36A5"/>
    <w:rsid w:val="15C4429B"/>
    <w:rsid w:val="15E66FF7"/>
    <w:rsid w:val="16A263C2"/>
    <w:rsid w:val="16F83B8C"/>
    <w:rsid w:val="16F86196"/>
    <w:rsid w:val="177C1BE6"/>
    <w:rsid w:val="17975995"/>
    <w:rsid w:val="188D78D8"/>
    <w:rsid w:val="18A01C0A"/>
    <w:rsid w:val="19EB06CD"/>
    <w:rsid w:val="1A8B4866"/>
    <w:rsid w:val="1AA80112"/>
    <w:rsid w:val="1BE37E58"/>
    <w:rsid w:val="1C307184"/>
    <w:rsid w:val="1C845B58"/>
    <w:rsid w:val="1D0968D1"/>
    <w:rsid w:val="1D2A1481"/>
    <w:rsid w:val="1D3F3C7C"/>
    <w:rsid w:val="1DFF6547"/>
    <w:rsid w:val="1E0D074B"/>
    <w:rsid w:val="1EE416FB"/>
    <w:rsid w:val="1F094269"/>
    <w:rsid w:val="1F20225E"/>
    <w:rsid w:val="208536D3"/>
    <w:rsid w:val="212435CF"/>
    <w:rsid w:val="21DF1541"/>
    <w:rsid w:val="220E5F90"/>
    <w:rsid w:val="2222738F"/>
    <w:rsid w:val="22897DA2"/>
    <w:rsid w:val="228A7DDC"/>
    <w:rsid w:val="23593A8D"/>
    <w:rsid w:val="243D02D8"/>
    <w:rsid w:val="264A5E67"/>
    <w:rsid w:val="266B0573"/>
    <w:rsid w:val="269A0FD3"/>
    <w:rsid w:val="277056DD"/>
    <w:rsid w:val="27995F60"/>
    <w:rsid w:val="28025039"/>
    <w:rsid w:val="28B540E3"/>
    <w:rsid w:val="297C6320"/>
    <w:rsid w:val="2A005D37"/>
    <w:rsid w:val="2A4933AC"/>
    <w:rsid w:val="2A6A3142"/>
    <w:rsid w:val="2B240EE6"/>
    <w:rsid w:val="2B2E0A5A"/>
    <w:rsid w:val="2BA70CA4"/>
    <w:rsid w:val="2EF04F32"/>
    <w:rsid w:val="2F7D7F41"/>
    <w:rsid w:val="304647E5"/>
    <w:rsid w:val="30656833"/>
    <w:rsid w:val="306C1463"/>
    <w:rsid w:val="30720C99"/>
    <w:rsid w:val="32026D9C"/>
    <w:rsid w:val="32B41BE1"/>
    <w:rsid w:val="32C9470B"/>
    <w:rsid w:val="32FA3DAF"/>
    <w:rsid w:val="330E08EF"/>
    <w:rsid w:val="33471816"/>
    <w:rsid w:val="33645DFE"/>
    <w:rsid w:val="33AC7705"/>
    <w:rsid w:val="33DA54F0"/>
    <w:rsid w:val="34326629"/>
    <w:rsid w:val="3436555C"/>
    <w:rsid w:val="34D74F44"/>
    <w:rsid w:val="3521751B"/>
    <w:rsid w:val="35AF2B08"/>
    <w:rsid w:val="35DE6650"/>
    <w:rsid w:val="373F6673"/>
    <w:rsid w:val="375D2C64"/>
    <w:rsid w:val="38C95833"/>
    <w:rsid w:val="3968465A"/>
    <w:rsid w:val="3A0E664F"/>
    <w:rsid w:val="3A3E1892"/>
    <w:rsid w:val="3A961FC4"/>
    <w:rsid w:val="3AB66084"/>
    <w:rsid w:val="3ACD0224"/>
    <w:rsid w:val="3AE90FAD"/>
    <w:rsid w:val="3C686097"/>
    <w:rsid w:val="3CAA7A33"/>
    <w:rsid w:val="3D3918BA"/>
    <w:rsid w:val="3E582318"/>
    <w:rsid w:val="3F471A01"/>
    <w:rsid w:val="415B23B1"/>
    <w:rsid w:val="421F6412"/>
    <w:rsid w:val="42265FED"/>
    <w:rsid w:val="423927F0"/>
    <w:rsid w:val="42B53D78"/>
    <w:rsid w:val="436B0F98"/>
    <w:rsid w:val="44695F79"/>
    <w:rsid w:val="44753D0C"/>
    <w:rsid w:val="44AF1E56"/>
    <w:rsid w:val="45945099"/>
    <w:rsid w:val="45D07E8C"/>
    <w:rsid w:val="46A50BDF"/>
    <w:rsid w:val="46A6540D"/>
    <w:rsid w:val="46FE0A76"/>
    <w:rsid w:val="47D90785"/>
    <w:rsid w:val="49581B60"/>
    <w:rsid w:val="49B02709"/>
    <w:rsid w:val="4A4549BE"/>
    <w:rsid w:val="4B1B5657"/>
    <w:rsid w:val="4B5930F3"/>
    <w:rsid w:val="4BA708DA"/>
    <w:rsid w:val="4C12528C"/>
    <w:rsid w:val="4D2007CB"/>
    <w:rsid w:val="4D566D5D"/>
    <w:rsid w:val="4DFC0F09"/>
    <w:rsid w:val="4E123A85"/>
    <w:rsid w:val="4E36032C"/>
    <w:rsid w:val="4E391E79"/>
    <w:rsid w:val="4F3B6524"/>
    <w:rsid w:val="4F684946"/>
    <w:rsid w:val="504B61B3"/>
    <w:rsid w:val="50585B66"/>
    <w:rsid w:val="506B2B4D"/>
    <w:rsid w:val="515D6038"/>
    <w:rsid w:val="517E0187"/>
    <w:rsid w:val="527542E7"/>
    <w:rsid w:val="53C64F3E"/>
    <w:rsid w:val="53F15728"/>
    <w:rsid w:val="547942B0"/>
    <w:rsid w:val="54C56CFF"/>
    <w:rsid w:val="54F05172"/>
    <w:rsid w:val="55547B5F"/>
    <w:rsid w:val="5579706C"/>
    <w:rsid w:val="567B09C5"/>
    <w:rsid w:val="572E76B5"/>
    <w:rsid w:val="57877235"/>
    <w:rsid w:val="579378DD"/>
    <w:rsid w:val="5A420E43"/>
    <w:rsid w:val="5A9B1AEC"/>
    <w:rsid w:val="5A9C623F"/>
    <w:rsid w:val="5AFB5530"/>
    <w:rsid w:val="5AFD5BE3"/>
    <w:rsid w:val="5B565890"/>
    <w:rsid w:val="5D8871F5"/>
    <w:rsid w:val="5DA55943"/>
    <w:rsid w:val="5DAD6008"/>
    <w:rsid w:val="5E347319"/>
    <w:rsid w:val="5F0651FE"/>
    <w:rsid w:val="5F464EFA"/>
    <w:rsid w:val="5F87465B"/>
    <w:rsid w:val="607F5BB3"/>
    <w:rsid w:val="61A32153"/>
    <w:rsid w:val="62260A44"/>
    <w:rsid w:val="627A1C5F"/>
    <w:rsid w:val="62821148"/>
    <w:rsid w:val="63A532A0"/>
    <w:rsid w:val="645D4C87"/>
    <w:rsid w:val="64D133FE"/>
    <w:rsid w:val="64D13AEE"/>
    <w:rsid w:val="6549774F"/>
    <w:rsid w:val="660516F0"/>
    <w:rsid w:val="66BE1197"/>
    <w:rsid w:val="66CC5FFA"/>
    <w:rsid w:val="678D77D7"/>
    <w:rsid w:val="687B25AC"/>
    <w:rsid w:val="69425C9C"/>
    <w:rsid w:val="6A727FBB"/>
    <w:rsid w:val="6C3C4B05"/>
    <w:rsid w:val="6CB67B70"/>
    <w:rsid w:val="6CBD5C34"/>
    <w:rsid w:val="6D0C3F5C"/>
    <w:rsid w:val="6D0E6419"/>
    <w:rsid w:val="6D7A6C9D"/>
    <w:rsid w:val="6D8C252A"/>
    <w:rsid w:val="6DAB5F89"/>
    <w:rsid w:val="6EA81681"/>
    <w:rsid w:val="6EAF7916"/>
    <w:rsid w:val="6F3B7F1C"/>
    <w:rsid w:val="6FEF756B"/>
    <w:rsid w:val="6FF27194"/>
    <w:rsid w:val="6FF3686F"/>
    <w:rsid w:val="724D4D4F"/>
    <w:rsid w:val="734C133C"/>
    <w:rsid w:val="73682094"/>
    <w:rsid w:val="73863634"/>
    <w:rsid w:val="73EA114C"/>
    <w:rsid w:val="74DB42DE"/>
    <w:rsid w:val="759C1992"/>
    <w:rsid w:val="775B2349"/>
    <w:rsid w:val="77E03A5B"/>
    <w:rsid w:val="782F2538"/>
    <w:rsid w:val="786A5F98"/>
    <w:rsid w:val="78E008E2"/>
    <w:rsid w:val="78FD1714"/>
    <w:rsid w:val="7A6B3FE7"/>
    <w:rsid w:val="7ABE79F8"/>
    <w:rsid w:val="7B2F03D4"/>
    <w:rsid w:val="7B6A6A4B"/>
    <w:rsid w:val="7BDA25DA"/>
    <w:rsid w:val="7C732E3F"/>
    <w:rsid w:val="7CB07CA0"/>
    <w:rsid w:val="7DAD549A"/>
    <w:rsid w:val="7EDB2D96"/>
    <w:rsid w:val="7F7B6B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link w:val="1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qFormat/>
    <w:uiPriority w:val="0"/>
    <w:rPr>
      <w:color w:val="0000FF"/>
      <w:u w:val="single"/>
    </w:rPr>
  </w:style>
  <w:style w:type="character" w:customStyle="1" w:styleId="11">
    <w:name w:val="页脚 Char"/>
    <w:link w:val="3"/>
    <w:qFormat/>
    <w:uiPriority w:val="0"/>
    <w:rPr>
      <w:rFonts w:eastAsia="宋体"/>
      <w:sz w:val="18"/>
      <w:szCs w:val="18"/>
      <w:lang w:bidi="ar-SA"/>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font31"/>
    <w:basedOn w:val="8"/>
    <w:qFormat/>
    <w:uiPriority w:val="0"/>
    <w:rPr>
      <w:rFonts w:hint="eastAsia" w:ascii="宋体" w:hAnsi="宋体" w:eastAsia="宋体" w:cs="宋体"/>
      <w:b/>
      <w:color w:val="000000"/>
      <w:sz w:val="24"/>
      <w:szCs w:val="24"/>
      <w:u w:val="none"/>
    </w:rPr>
  </w:style>
  <w:style w:type="character" w:customStyle="1" w:styleId="14">
    <w:name w:val="font01"/>
    <w:basedOn w:val="8"/>
    <w:qFormat/>
    <w:uiPriority w:val="0"/>
    <w:rPr>
      <w:rFonts w:ascii="Arial" w:hAnsi="Arial" w:cs="Arial"/>
      <w:b/>
      <w:color w:val="000000"/>
      <w:sz w:val="24"/>
      <w:szCs w:val="24"/>
      <w:u w:val="none"/>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paragraph" w:customStyle="1" w:styleId="16">
    <w:name w:val=" Char"/>
    <w:basedOn w:val="1"/>
    <w:qFormat/>
    <w:uiPriority w:val="0"/>
    <w:pPr>
      <w:autoSpaceDE w:val="0"/>
      <w:autoSpaceDN w:val="0"/>
      <w:adjustRightInd w:val="0"/>
    </w:pPr>
    <w:rPr>
      <w:rFonts w:ascii="宋体" w:cs="宋体"/>
      <w:kern w:val="0"/>
      <w:sz w:val="20"/>
      <w:szCs w:val="20"/>
      <w:lang w:val="zh-CN"/>
    </w:rPr>
  </w:style>
  <w:style w:type="paragraph" w:customStyle="1" w:styleId="17">
    <w:name w:val=" Char1"/>
    <w:basedOn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8</Pages>
  <Words>3766</Words>
  <Characters>4062</Characters>
  <Lines>124</Lines>
  <Paragraphs>34</Paragraphs>
  <TotalTime>4</TotalTime>
  <ScaleCrop>false</ScaleCrop>
  <LinksUpToDate>false</LinksUpToDate>
  <CharactersWithSpaces>4596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2019-04-18T01:44:00Z</dcterms:created>
  <dc:creator>吴川 10.105.113.190</dc:creator>
  <cp:lastModifiedBy>HD</cp:lastModifiedBy>
  <cp:lastPrinted>2022-07-18T01:43:00Z</cp:lastPrinted>
  <dcterms:modified xsi:type="dcterms:W3CDTF">2023-07-13T03:11:05Z</dcterms:modified>
  <dc:title>岳阳市财政局文件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A3E15A11EB6A4F85B4D1538F7DC0528D_13</vt:lpwstr>
  </property>
</Properties>
</file>