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eastAsia="黑体"/>
          <w:sz w:val="32"/>
          <w:szCs w:val="32"/>
        </w:rPr>
      </w:pPr>
      <w:bookmarkStart w:id="0" w:name="_GoBack"/>
      <w:bookmarkEnd w:id="0"/>
      <w:r>
        <w:rPr>
          <w:rFonts w:eastAsia="黑体"/>
          <w:sz w:val="32"/>
          <w:szCs w:val="32"/>
        </w:rPr>
        <w:t>附件</w:t>
      </w:r>
      <w:r>
        <w:rPr>
          <w:rFonts w:hint="eastAsia" w:eastAsia="黑体"/>
          <w:sz w:val="32"/>
          <w:szCs w:val="32"/>
        </w:rPr>
        <w:t>2</w:t>
      </w:r>
    </w:p>
    <w:p>
      <w:pPr>
        <w:autoSpaceDE w:val="0"/>
        <w:spacing w:afterLines="100"/>
        <w:jc w:val="center"/>
        <w:rPr>
          <w:rFonts w:eastAsia="方正小标宋简体"/>
          <w:sz w:val="44"/>
          <w:szCs w:val="44"/>
        </w:rPr>
      </w:pPr>
      <w:r>
        <w:rPr>
          <w:rFonts w:hint="eastAsia" w:eastAsia="方正小标宋简体"/>
          <w:sz w:val="44"/>
          <w:szCs w:val="44"/>
        </w:rPr>
        <w:t>2022年工贸烟花安全监管执法计划</w:t>
      </w:r>
    </w:p>
    <w:p>
      <w:pPr>
        <w:numPr>
          <w:ilvl w:val="0"/>
          <w:numId w:val="1"/>
        </w:numPr>
        <w:autoSpaceDE w:val="0"/>
        <w:adjustRightInd w:val="0"/>
        <w:snapToGrid w:val="0"/>
        <w:spacing w:line="560" w:lineRule="exact"/>
        <w:ind w:firstLine="640"/>
        <w:rPr>
          <w:rFonts w:ascii="黑体" w:hAnsi="黑体" w:eastAsia="黑体" w:cs="黑体"/>
          <w:sz w:val="32"/>
          <w:szCs w:val="32"/>
        </w:rPr>
      </w:pPr>
      <w:r>
        <w:rPr>
          <w:rFonts w:hint="eastAsia" w:ascii="黑体" w:hAnsi="黑体" w:eastAsia="黑体" w:cs="黑体"/>
          <w:sz w:val="32"/>
          <w:szCs w:val="32"/>
        </w:rPr>
        <w:t>工贸</w:t>
      </w:r>
      <w:r>
        <w:rPr>
          <w:rFonts w:ascii="黑体" w:hAnsi="黑体" w:eastAsia="黑体" w:cs="黑体"/>
          <w:sz w:val="32"/>
          <w:szCs w:val="32"/>
        </w:rPr>
        <w:t>烟花企业基本情况</w:t>
      </w:r>
    </w:p>
    <w:p>
      <w:pPr>
        <w:autoSpaceDE w:val="0"/>
        <w:adjustRightInd w:val="0"/>
        <w:snapToGrid w:val="0"/>
        <w:spacing w:line="560" w:lineRule="exact"/>
        <w:ind w:firstLine="320" w:firstLineChars="100"/>
        <w:rPr>
          <w:rFonts w:ascii="仿宋" w:hAnsi="仿宋" w:eastAsia="仿宋"/>
          <w:sz w:val="32"/>
          <w:szCs w:val="32"/>
        </w:rPr>
      </w:pPr>
      <w:r>
        <w:rPr>
          <w:rFonts w:hint="eastAsia" w:ascii="仿宋" w:hAnsi="仿宋" w:eastAsia="仿宋"/>
          <w:sz w:val="32"/>
          <w:szCs w:val="32"/>
        </w:rPr>
        <w:t>工贸烟花企业在册109家，按照2022年度重点企业和一般企业划分原则，重点企业21家（其中，工贸重点企业19家，烟花爆竹企业2家），一般企业88家。目前，工贸行业安全监督管理股在册3人，实际在岗且具备执法资格执法人员为3人。</w:t>
      </w:r>
    </w:p>
    <w:p>
      <w:pPr>
        <w:autoSpaceDE w:val="0"/>
        <w:adjustRightInd w:val="0"/>
        <w:snapToGrid w:val="0"/>
        <w:spacing w:line="560" w:lineRule="exact"/>
        <w:ind w:firstLine="640" w:firstLineChars="200"/>
        <w:rPr>
          <w:rFonts w:ascii="黑体" w:hAnsi="黑体" w:eastAsia="黑体"/>
          <w:sz w:val="32"/>
          <w:szCs w:val="32"/>
        </w:rPr>
      </w:pPr>
      <w:r>
        <w:rPr>
          <w:rFonts w:hint="eastAsia" w:ascii="黑体" w:hAnsi="黑体" w:eastAsia="黑体"/>
          <w:sz w:val="32"/>
          <w:szCs w:val="32"/>
        </w:rPr>
        <w:t>二、主要执法依据</w:t>
      </w:r>
    </w:p>
    <w:p>
      <w:pPr>
        <w:autoSpaceDE w:val="0"/>
        <w:adjustRightInd w:val="0"/>
        <w:snapToGrid w:val="0"/>
        <w:spacing w:line="560" w:lineRule="exact"/>
        <w:ind w:firstLine="640" w:firstLineChars="200"/>
        <w:rPr>
          <w:rFonts w:eastAsia="仿宋_GB2312"/>
          <w:sz w:val="32"/>
          <w:szCs w:val="32"/>
        </w:rPr>
      </w:pPr>
      <w:r>
        <w:rPr>
          <w:rFonts w:ascii="仿宋_GB2312" w:eastAsia="仿宋_GB2312"/>
          <w:sz w:val="32"/>
          <w:szCs w:val="32"/>
        </w:rPr>
        <w:t>（一）《安全生产法》《行政处罚法》《烟花爆竹安全管理条例》《安全生产许可证条例》《生产安全事故应急条例》《湖南</w:t>
      </w:r>
      <w:r>
        <w:rPr>
          <w:rFonts w:hint="eastAsia" w:ascii="仿宋_GB2312" w:eastAsia="仿宋_GB2312"/>
          <w:sz w:val="32"/>
          <w:szCs w:val="32"/>
        </w:rPr>
        <w:t>省</w:t>
      </w:r>
      <w:r>
        <w:rPr>
          <w:rFonts w:ascii="仿宋_GB2312" w:eastAsia="仿宋_GB2312"/>
          <w:sz w:val="32"/>
          <w:szCs w:val="32"/>
        </w:rPr>
        <w:t>安全生产条例》《安全生产违法行为行政处罚办法》</w:t>
      </w:r>
      <w:r>
        <w:rPr>
          <w:rFonts w:hint="eastAsia" w:ascii="仿宋_GB2312" w:eastAsia="仿宋_GB2312"/>
          <w:sz w:val="32"/>
          <w:szCs w:val="32"/>
        </w:rPr>
        <w:t>。</w:t>
      </w:r>
    </w:p>
    <w:p>
      <w:pPr>
        <w:autoSpaceDE w:val="0"/>
        <w:adjustRightInd w:val="0"/>
        <w:snapToGrid w:val="0"/>
        <w:spacing w:line="560" w:lineRule="exact"/>
        <w:ind w:firstLine="640"/>
        <w:rPr>
          <w:rFonts w:eastAsia="仿宋_GB2312"/>
          <w:sz w:val="32"/>
          <w:szCs w:val="32"/>
        </w:rPr>
      </w:pPr>
      <w:r>
        <w:rPr>
          <w:rFonts w:ascii="仿宋_GB2312" w:eastAsia="仿宋_GB2312"/>
          <w:sz w:val="32"/>
          <w:szCs w:val="32"/>
        </w:rPr>
        <w:t>（二）《烟花爆竹生产企业安全生产许可证实施办法》《烟花爆竹生产经营安全规定》《烟花爆竹经营许可实施办法》《烟花爆竹工程设计安全规范》《烟花爆竹安全与质量》《烟花爆竹安全作业技术规程》</w:t>
      </w:r>
      <w:r>
        <w:rPr>
          <w:rFonts w:hint="eastAsia" w:ascii="仿宋_GB2312" w:eastAsia="仿宋_GB2312"/>
          <w:sz w:val="32"/>
          <w:szCs w:val="32"/>
        </w:rPr>
        <w:t>。</w:t>
      </w:r>
    </w:p>
    <w:p>
      <w:pPr>
        <w:autoSpaceDE w:val="0"/>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（三）《安全生产事故隐患排查治理暂行规定》《建设项目安全设施“三同时”监督管理暂行办法》</w:t>
      </w:r>
      <w:r>
        <w:rPr>
          <w:rFonts w:hint="eastAsia" w:ascii="仿宋_GB2312" w:hAnsi="Calibri" w:eastAsia="仿宋_GB2312"/>
          <w:sz w:val="32"/>
          <w:szCs w:val="32"/>
        </w:rPr>
        <w:t>《安全生产培训管理办法》《生产经营单位安全培训规定》</w:t>
      </w:r>
      <w:r>
        <w:rPr>
          <w:rFonts w:hint="eastAsia" w:ascii="仿宋_GB2312" w:hAnsi="Calibri" w:eastAsia="仿宋_GB2312"/>
          <w:kern w:val="0"/>
          <w:sz w:val="32"/>
          <w:szCs w:val="32"/>
        </w:rPr>
        <w:t>《特种作业人员安全技术培训考核管理规定</w:t>
      </w:r>
      <w:r>
        <w:rPr>
          <w:rFonts w:hint="eastAsia" w:ascii="仿宋_GB2312" w:hAnsi="黑体" w:eastAsia="仿宋_GB2312"/>
          <w:sz w:val="32"/>
          <w:szCs w:val="32"/>
        </w:rPr>
        <w:t>》《食品生产企业安全生产监督管理暂行规定》《工贸企业有限空间作业安全管理与监督暂行规定》《湖南省生产经营单位安全生产主体责任规定》《工贸行业重大生产安全事故隐患判定标准（2017版）》《工贸企业粉尘防爆安全规定》。</w:t>
      </w:r>
    </w:p>
    <w:p>
      <w:pPr>
        <w:autoSpaceDE w:val="0"/>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（四）《安全生产执法手册2020年版》。</w:t>
      </w:r>
    </w:p>
    <w:p>
      <w:pPr>
        <w:autoSpaceDE w:val="0"/>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（五）其他相关法律法规和标准规范及规范性文件。</w:t>
      </w:r>
    </w:p>
    <w:p>
      <w:pPr>
        <w:autoSpaceDE w:val="0"/>
        <w:adjustRightInd w:val="0"/>
        <w:snapToGrid w:val="0"/>
        <w:spacing w:line="560" w:lineRule="exact"/>
        <w:ind w:firstLine="640"/>
        <w:rPr>
          <w:rFonts w:eastAsia="黑体"/>
          <w:sz w:val="32"/>
          <w:szCs w:val="32"/>
        </w:rPr>
      </w:pPr>
      <w:r>
        <w:rPr>
          <w:rFonts w:ascii="黑体" w:hAnsi="黑体" w:eastAsia="黑体"/>
          <w:sz w:val="32"/>
          <w:szCs w:val="32"/>
        </w:rPr>
        <w:t>三、重点检查内容</w:t>
      </w:r>
    </w:p>
    <w:p>
      <w:pPr>
        <w:autoSpaceDE w:val="0"/>
        <w:adjustRightInd w:val="0"/>
        <w:snapToGrid w:val="0"/>
        <w:spacing w:line="560" w:lineRule="exact"/>
        <w:ind w:firstLine="640"/>
        <w:rPr>
          <w:rFonts w:eastAsia="仿宋_GB2312"/>
          <w:sz w:val="32"/>
          <w:szCs w:val="32"/>
        </w:rPr>
      </w:pPr>
      <w:r>
        <w:rPr>
          <w:rFonts w:ascii="仿宋_GB2312" w:eastAsia="仿宋_GB2312"/>
          <w:sz w:val="32"/>
          <w:szCs w:val="32"/>
        </w:rPr>
        <w:t>对生产经营单位是否具备有关法律、法规、规章和国家标准或者行业标准规定的安全生产条件进行监督检查，重点监督检查下列事项：</w:t>
      </w:r>
    </w:p>
    <w:p>
      <w:pPr>
        <w:autoSpaceDE w:val="0"/>
        <w:spacing w:line="560" w:lineRule="exact"/>
        <w:ind w:firstLine="640" w:firstLineChars="200"/>
        <w:rPr>
          <w:rFonts w:ascii="仿宋_GB2312" w:hAnsi="Calibri" w:eastAsia="仿宋_GB2312"/>
          <w:sz w:val="32"/>
          <w:szCs w:val="32"/>
        </w:rPr>
      </w:pPr>
      <w:r>
        <w:rPr>
          <w:rFonts w:hint="eastAsia" w:ascii="仿宋_GB2312" w:hAnsi="Calibri" w:eastAsia="仿宋_GB2312"/>
          <w:sz w:val="32"/>
          <w:szCs w:val="32"/>
        </w:rPr>
        <w:t>（一）安全生产责任制和安全管理制度落实情况的监督检查。企业是否建立健全员安全生产责任制，加强安全生产标准化建设，并建立考核标准及奖惩措施；是否</w:t>
      </w:r>
      <w:r>
        <w:rPr>
          <w:rFonts w:ascii="仿宋_GB2312" w:eastAsia="仿宋_GB2312"/>
          <w:sz w:val="32"/>
          <w:szCs w:val="32"/>
        </w:rPr>
        <w:t>依法设置安全生产管理机构和配备安全生产管理人员；</w:t>
      </w:r>
      <w:r>
        <w:rPr>
          <w:rFonts w:hint="eastAsia" w:ascii="仿宋_GB2312" w:hAnsi="Calibri" w:eastAsia="仿宋_GB2312"/>
          <w:sz w:val="32"/>
          <w:szCs w:val="32"/>
        </w:rPr>
        <w:t>是否制定安全检查制度、安全教育培训制度、事故隐患排查治理制度、安全生产奖惩制度等安全管理制度；是否制定作业安全规程和各工种操作规程；是否建立并落实</w:t>
      </w:r>
      <w:r>
        <w:rPr>
          <w:rFonts w:ascii="仿宋_GB2312" w:eastAsia="仿宋_GB2312"/>
          <w:sz w:val="32"/>
          <w:szCs w:val="32"/>
        </w:rPr>
        <w:t>双重预防机制</w:t>
      </w:r>
      <w:r>
        <w:rPr>
          <w:rFonts w:hint="eastAsia" w:ascii="仿宋_GB2312" w:hAnsi="Calibri" w:eastAsia="仿宋_GB2312"/>
          <w:sz w:val="32"/>
          <w:szCs w:val="32"/>
        </w:rPr>
        <w:t xml:space="preserve">。 </w:t>
      </w:r>
    </w:p>
    <w:p>
      <w:pPr>
        <w:autoSpaceDE w:val="0"/>
        <w:adjustRightInd w:val="0"/>
        <w:snapToGrid w:val="0"/>
        <w:spacing w:line="560" w:lineRule="exact"/>
        <w:ind w:firstLine="640" w:firstLineChars="200"/>
        <w:rPr>
          <w:rFonts w:ascii="仿宋_GB2312" w:hAnsi="Calibri" w:eastAsia="仿宋_GB2312"/>
          <w:sz w:val="32"/>
          <w:szCs w:val="32"/>
        </w:rPr>
      </w:pPr>
      <w:r>
        <w:rPr>
          <w:rFonts w:hint="eastAsia" w:ascii="仿宋_GB2312" w:hAnsi="Calibri" w:eastAsia="仿宋_GB2312"/>
          <w:sz w:val="32"/>
          <w:szCs w:val="32"/>
        </w:rPr>
        <w:t>（二）安全生产源头防范落实情况的监督检查。企业</w:t>
      </w:r>
      <w:r>
        <w:rPr>
          <w:rFonts w:ascii="仿宋_GB2312" w:eastAsia="仿宋_GB2312"/>
          <w:sz w:val="32"/>
          <w:szCs w:val="32"/>
        </w:rPr>
        <w:t>新、改、扩工程建设项目</w:t>
      </w:r>
      <w:r>
        <w:rPr>
          <w:rFonts w:hint="eastAsia" w:ascii="仿宋_GB2312" w:eastAsia="仿宋_GB2312"/>
          <w:sz w:val="32"/>
          <w:szCs w:val="32"/>
        </w:rPr>
        <w:t>是否</w:t>
      </w:r>
      <w:r>
        <w:rPr>
          <w:rFonts w:hint="eastAsia" w:ascii="仿宋_GB2312" w:hAnsi="Calibri" w:eastAsia="仿宋_GB2312"/>
          <w:sz w:val="32"/>
          <w:szCs w:val="32"/>
        </w:rPr>
        <w:t>履行</w:t>
      </w:r>
      <w:r>
        <w:rPr>
          <w:rFonts w:eastAsia="仿宋_GB2312"/>
          <w:sz w:val="32"/>
          <w:szCs w:val="32"/>
        </w:rPr>
        <w:t>“</w:t>
      </w:r>
      <w:r>
        <w:rPr>
          <w:rFonts w:ascii="仿宋_GB2312" w:eastAsia="仿宋_GB2312"/>
          <w:sz w:val="32"/>
          <w:szCs w:val="32"/>
        </w:rPr>
        <w:t>三同时</w:t>
      </w:r>
      <w:r>
        <w:rPr>
          <w:rFonts w:eastAsia="仿宋_GB2312"/>
          <w:sz w:val="32"/>
          <w:szCs w:val="32"/>
        </w:rPr>
        <w:t>”</w:t>
      </w:r>
      <w:r>
        <w:rPr>
          <w:rFonts w:hint="eastAsia" w:ascii="仿宋_GB2312" w:eastAsia="仿宋_GB2312"/>
          <w:sz w:val="32"/>
          <w:szCs w:val="32"/>
        </w:rPr>
        <w:t>手续；</w:t>
      </w:r>
      <w:r>
        <w:rPr>
          <w:rFonts w:hint="eastAsia" w:ascii="仿宋_GB2312" w:hAnsi="Calibri" w:eastAsia="仿宋_GB2312"/>
          <w:sz w:val="32"/>
          <w:szCs w:val="32"/>
        </w:rPr>
        <w:t>有关安全设备的安装、使用、检测、维修、改造和报废是否符合国家标准或者行业标准，并进行经常性维护、保养和定期检测；是否使用列入淘汰落后技术装备目录的工艺、设备；按照有关国家标准对本单位重大危险源进行辨识、登记建档，定期检测、评估、监控。</w:t>
      </w:r>
    </w:p>
    <w:p>
      <w:pPr>
        <w:autoSpaceDE w:val="0"/>
        <w:spacing w:line="560" w:lineRule="exact"/>
        <w:ind w:firstLine="640" w:firstLineChars="200"/>
        <w:rPr>
          <w:rFonts w:ascii="仿宋_GB2312" w:hAnsi="Calibri" w:eastAsia="仿宋_GB2312"/>
          <w:sz w:val="32"/>
          <w:szCs w:val="32"/>
        </w:rPr>
      </w:pPr>
      <w:r>
        <w:rPr>
          <w:rFonts w:hint="eastAsia" w:ascii="仿宋_GB2312" w:hAnsi="Calibri" w:eastAsia="仿宋_GB2312"/>
          <w:sz w:val="32"/>
          <w:szCs w:val="32"/>
        </w:rPr>
        <w:t>（三）事故隐患排查治理落实情况的监督检查。督促企业建立健全生产安全事故隐患排查治理制度，采取技术、管理措施，及时发现并消除事故隐患；工贸企业是否按照有关重大事故隐患判定标准，排查治理本单位重大事故隐患，并在重大事故隐患治理过程中采取相应的安全防范措施及</w:t>
      </w:r>
      <w:r>
        <w:rPr>
          <w:rFonts w:ascii="仿宋_GB2312" w:eastAsia="仿宋_GB2312"/>
          <w:sz w:val="32"/>
          <w:szCs w:val="32"/>
        </w:rPr>
        <w:t>时排查治理生产安全事故隐患</w:t>
      </w:r>
      <w:r>
        <w:rPr>
          <w:rFonts w:hint="eastAsia" w:ascii="仿宋_GB2312" w:hAnsi="Calibri" w:eastAsia="仿宋_GB2312"/>
          <w:sz w:val="32"/>
          <w:szCs w:val="32"/>
        </w:rPr>
        <w:t>。</w:t>
      </w:r>
    </w:p>
    <w:p>
      <w:pPr>
        <w:autoSpaceDE w:val="0"/>
        <w:adjustRightInd w:val="0"/>
        <w:snapToGrid w:val="0"/>
        <w:spacing w:line="560" w:lineRule="exact"/>
        <w:ind w:firstLine="640" w:firstLineChars="200"/>
        <w:rPr>
          <w:rFonts w:ascii="仿宋_GB2312" w:hAnsi="Calibri" w:eastAsia="仿宋_GB2312"/>
          <w:sz w:val="36"/>
          <w:szCs w:val="36"/>
        </w:rPr>
      </w:pPr>
      <w:r>
        <w:rPr>
          <w:rFonts w:hint="eastAsia" w:ascii="仿宋_GB2312" w:hAnsi="Calibri" w:eastAsia="仿宋_GB2312"/>
          <w:sz w:val="32"/>
          <w:szCs w:val="32"/>
        </w:rPr>
        <w:t>（四）安全生产教育培训落实情况的监督检查。烟花批发企业主要负责人和安全生产管理人员是否经有关部门对其安全生产知识和管理能力考核合格，</w:t>
      </w:r>
      <w:r>
        <w:rPr>
          <w:rFonts w:ascii="仿宋_GB2312" w:eastAsia="仿宋_GB2312"/>
          <w:sz w:val="32"/>
          <w:szCs w:val="32"/>
        </w:rPr>
        <w:t>取得有关安全资格证书</w:t>
      </w:r>
      <w:r>
        <w:rPr>
          <w:rFonts w:hint="eastAsia" w:ascii="仿宋_GB2312" w:hAnsi="Calibri" w:eastAsia="仿宋_GB2312"/>
          <w:sz w:val="32"/>
          <w:szCs w:val="32"/>
        </w:rPr>
        <w:t>；企业是否按规定对从业人员进行安全生产教育和培训，</w:t>
      </w:r>
      <w:r>
        <w:rPr>
          <w:rFonts w:ascii="仿宋_GB2312" w:eastAsia="仿宋_GB2312"/>
          <w:sz w:val="32"/>
          <w:szCs w:val="32"/>
        </w:rPr>
        <w:t>教育和督促从业人员严格执行本单位的安全生产规章制度和安全操作规程，并向从业人员如实告知作业场所和工作岗位存在的危险因素、防范措施以及事故应急措施；</w:t>
      </w:r>
    </w:p>
    <w:p>
      <w:pPr>
        <w:autoSpaceDE w:val="0"/>
        <w:spacing w:line="560" w:lineRule="exact"/>
        <w:ind w:firstLine="640" w:firstLineChars="200"/>
        <w:rPr>
          <w:rFonts w:ascii="仿宋_GB2312" w:hAnsi="Calibri" w:eastAsia="仿宋_GB2312"/>
          <w:sz w:val="32"/>
          <w:szCs w:val="32"/>
        </w:rPr>
      </w:pPr>
      <w:r>
        <w:rPr>
          <w:rFonts w:hint="eastAsia" w:ascii="仿宋_GB2312" w:hAnsi="Calibri" w:eastAsia="仿宋_GB2312"/>
          <w:sz w:val="32"/>
          <w:szCs w:val="32"/>
        </w:rPr>
        <w:t>（五）现场作业安全管理落实情况的执法检查。企业是否存在违章指挥、强令从业人员冒险作业现象；是否在有较大危险因素的生产经营场所和有关设施、设备上，设置明显的安全警示标志；从事涉爆粉尘、有限空间、吊装、动火及国家有关规定明确的危险作业时，是否进行审批并安排专门人员进行现场安全管理；企业生产经营项目、场地发包或租赁其他单位是否与承包方签订专门的安全生产管理协议，将外包项目的安全生产统一协调、管理；是否为从业人员提供符合国家标准或者行业标准的劳动防护用品；企业是否</w:t>
      </w:r>
      <w:r>
        <w:rPr>
          <w:rFonts w:ascii="仿宋_GB2312" w:eastAsia="仿宋_GB2312"/>
          <w:sz w:val="32"/>
          <w:szCs w:val="32"/>
        </w:rPr>
        <w:t>对安全设备设施</w:t>
      </w:r>
      <w:r>
        <w:rPr>
          <w:rFonts w:hint="eastAsia" w:ascii="仿宋_GB2312" w:eastAsia="仿宋_GB2312"/>
          <w:sz w:val="32"/>
          <w:szCs w:val="32"/>
        </w:rPr>
        <w:t>进行</w:t>
      </w:r>
      <w:r>
        <w:rPr>
          <w:rFonts w:ascii="仿宋_GB2312" w:eastAsia="仿宋_GB2312"/>
          <w:sz w:val="32"/>
          <w:szCs w:val="32"/>
        </w:rPr>
        <w:t>维护、保养、定期检测</w:t>
      </w:r>
      <w:r>
        <w:rPr>
          <w:rFonts w:hint="eastAsia" w:ascii="仿宋_GB2312" w:hAnsi="Calibri" w:eastAsia="仿宋_GB2312"/>
          <w:sz w:val="32"/>
          <w:szCs w:val="32"/>
        </w:rPr>
        <w:t>。</w:t>
      </w:r>
    </w:p>
    <w:p>
      <w:pPr>
        <w:autoSpaceDE w:val="0"/>
        <w:spacing w:line="560" w:lineRule="exact"/>
        <w:ind w:firstLine="640" w:firstLineChars="200"/>
        <w:rPr>
          <w:rFonts w:ascii="仿宋_GB2312" w:hAnsi="Calibri" w:eastAsia="仿宋_GB2312"/>
          <w:sz w:val="32"/>
          <w:szCs w:val="32"/>
        </w:rPr>
      </w:pPr>
      <w:r>
        <w:rPr>
          <w:rFonts w:hint="eastAsia" w:ascii="仿宋_GB2312" w:hAnsi="Calibri" w:eastAsia="仿宋_GB2312"/>
          <w:sz w:val="32"/>
          <w:szCs w:val="32"/>
        </w:rPr>
        <w:t>（六）安全生产应急管理落实情况的监督检查。是否组织</w:t>
      </w:r>
      <w:r>
        <w:rPr>
          <w:rFonts w:ascii="仿宋_GB2312" w:eastAsia="仿宋_GB2312"/>
          <w:sz w:val="32"/>
          <w:szCs w:val="32"/>
        </w:rPr>
        <w:t>制定、实施</w:t>
      </w:r>
      <w:r>
        <w:rPr>
          <w:rFonts w:hint="eastAsia" w:ascii="仿宋_GB2312" w:hAnsi="Calibri" w:eastAsia="仿宋_GB2312"/>
          <w:sz w:val="32"/>
          <w:szCs w:val="32"/>
        </w:rPr>
        <w:t>本单位</w:t>
      </w:r>
      <w:r>
        <w:rPr>
          <w:rFonts w:ascii="仿宋_GB2312" w:eastAsia="仿宋_GB2312"/>
          <w:sz w:val="32"/>
          <w:szCs w:val="32"/>
        </w:rPr>
        <w:t>生产安全</w:t>
      </w:r>
      <w:r>
        <w:rPr>
          <w:rFonts w:hint="eastAsia" w:ascii="仿宋_GB2312" w:hAnsi="Calibri" w:eastAsia="仿宋_GB2312"/>
          <w:sz w:val="32"/>
          <w:szCs w:val="32"/>
        </w:rPr>
        <w:t>事故应急预案并依法进行</w:t>
      </w:r>
      <w:r>
        <w:rPr>
          <w:rFonts w:ascii="仿宋_GB2312" w:eastAsia="仿宋_GB2312"/>
          <w:sz w:val="32"/>
          <w:szCs w:val="32"/>
        </w:rPr>
        <w:t>应急预案备案</w:t>
      </w:r>
      <w:r>
        <w:rPr>
          <w:rFonts w:hint="eastAsia" w:ascii="仿宋_GB2312" w:eastAsia="仿宋_GB2312"/>
          <w:sz w:val="32"/>
          <w:szCs w:val="32"/>
        </w:rPr>
        <w:t>；</w:t>
      </w:r>
      <w:r>
        <w:rPr>
          <w:rFonts w:hint="eastAsia" w:ascii="仿宋_GB2312" w:hAnsi="Calibri" w:eastAsia="仿宋_GB2312"/>
          <w:sz w:val="32"/>
          <w:szCs w:val="32"/>
        </w:rPr>
        <w:t>是否定期组织应急预案培训演练；是否</w:t>
      </w:r>
      <w:r>
        <w:rPr>
          <w:rFonts w:ascii="仿宋_GB2312" w:eastAsia="仿宋_GB2312"/>
          <w:sz w:val="32"/>
          <w:szCs w:val="32"/>
        </w:rPr>
        <w:t>按照规定报告生产安全事故</w:t>
      </w:r>
      <w:r>
        <w:rPr>
          <w:rFonts w:hint="eastAsia" w:ascii="仿宋_GB2312" w:hAnsi="Calibri" w:eastAsia="仿宋_GB2312"/>
          <w:sz w:val="32"/>
          <w:szCs w:val="32"/>
        </w:rPr>
        <w:t>。</w:t>
      </w:r>
    </w:p>
    <w:p>
      <w:pPr>
        <w:autoSpaceDE w:val="0"/>
        <w:spacing w:line="560" w:lineRule="exact"/>
        <w:ind w:firstLine="640" w:firstLineChars="200"/>
        <w:rPr>
          <w:rFonts w:ascii="仿宋_GB2312" w:hAnsi="Calibri" w:eastAsia="仿宋_GB2312"/>
          <w:sz w:val="32"/>
          <w:szCs w:val="32"/>
        </w:rPr>
      </w:pPr>
      <w:r>
        <w:rPr>
          <w:rFonts w:hint="eastAsia" w:ascii="仿宋_GB2312" w:hAnsi="Calibri" w:eastAsia="仿宋_GB2312"/>
          <w:sz w:val="32"/>
          <w:szCs w:val="32"/>
        </w:rPr>
        <w:t>（七）对企业取得许可后的监督检查。企业是否严格依照有关安全生产行政许可的范围、事项从事相关的生产经营活动；是否按照法定期限、条件办理行政许可延续、变更手续。</w:t>
      </w:r>
    </w:p>
    <w:p>
      <w:pPr>
        <w:autoSpaceDE w:val="0"/>
        <w:adjustRightInd w:val="0"/>
        <w:snapToGrid w:val="0"/>
        <w:spacing w:line="560" w:lineRule="exact"/>
        <w:ind w:firstLine="640" w:firstLineChars="200"/>
        <w:rPr>
          <w:rFonts w:eastAsia="仿宋_GB2312"/>
          <w:sz w:val="32"/>
          <w:szCs w:val="32"/>
        </w:rPr>
      </w:pPr>
      <w:r>
        <w:rPr>
          <w:rFonts w:hint="eastAsia" w:ascii="仿宋_GB2312" w:hAnsi="Calibri" w:eastAsia="仿宋_GB2312"/>
          <w:sz w:val="32"/>
          <w:szCs w:val="32"/>
        </w:rPr>
        <w:t>（八）重点领域专项治理落实情况的执法检查。涉及有限空间作业、粉尘防爆企业是否落实专项治理相关措施。</w:t>
      </w:r>
    </w:p>
    <w:p>
      <w:pPr>
        <w:autoSpaceDE w:val="0"/>
        <w:adjustRightInd w:val="0"/>
        <w:snapToGrid w:val="0"/>
        <w:spacing w:line="560" w:lineRule="exact"/>
        <w:ind w:firstLine="640" w:firstLineChars="200"/>
        <w:rPr>
          <w:rFonts w:eastAsia="仿宋_GB2312"/>
          <w:sz w:val="32"/>
          <w:szCs w:val="32"/>
        </w:rPr>
      </w:pPr>
      <w:r>
        <w:rPr>
          <w:rFonts w:ascii="仿宋_GB2312" w:eastAsia="仿宋_GB2312"/>
          <w:sz w:val="32"/>
          <w:szCs w:val="32"/>
        </w:rPr>
        <w:t>（九）重大危险源</w:t>
      </w:r>
      <w:r>
        <w:rPr>
          <w:rFonts w:hint="eastAsia" w:ascii="仿宋_GB2312" w:eastAsia="仿宋_GB2312"/>
          <w:sz w:val="32"/>
          <w:szCs w:val="32"/>
        </w:rPr>
        <w:t>安全监管的执法检查。企业是否对重大危险源</w:t>
      </w:r>
      <w:r>
        <w:rPr>
          <w:rFonts w:ascii="仿宋_GB2312" w:eastAsia="仿宋_GB2312"/>
          <w:sz w:val="32"/>
          <w:szCs w:val="32"/>
        </w:rPr>
        <w:t>登记建档</w:t>
      </w:r>
      <w:r>
        <w:rPr>
          <w:rFonts w:hint="eastAsia" w:ascii="仿宋_GB2312" w:eastAsia="仿宋_GB2312"/>
          <w:sz w:val="32"/>
          <w:szCs w:val="32"/>
        </w:rPr>
        <w:t>，进行</w:t>
      </w:r>
      <w:r>
        <w:rPr>
          <w:rFonts w:ascii="仿宋_GB2312" w:eastAsia="仿宋_GB2312"/>
          <w:sz w:val="32"/>
          <w:szCs w:val="32"/>
        </w:rPr>
        <w:t>定期检测、评估、监控</w:t>
      </w:r>
      <w:r>
        <w:rPr>
          <w:rFonts w:hint="eastAsia" w:ascii="仿宋_GB2312" w:eastAsia="仿宋_GB2312"/>
          <w:sz w:val="32"/>
          <w:szCs w:val="32"/>
        </w:rPr>
        <w:t>并</w:t>
      </w:r>
      <w:r>
        <w:rPr>
          <w:rFonts w:ascii="仿宋_GB2312" w:eastAsia="仿宋_GB2312"/>
          <w:sz w:val="32"/>
          <w:szCs w:val="32"/>
        </w:rPr>
        <w:t>制定应急预案</w:t>
      </w:r>
      <w:r>
        <w:rPr>
          <w:rFonts w:hint="eastAsia" w:ascii="仿宋_GB2312" w:eastAsia="仿宋_GB2312"/>
          <w:sz w:val="32"/>
          <w:szCs w:val="32"/>
        </w:rPr>
        <w:t>。</w:t>
      </w:r>
    </w:p>
    <w:p>
      <w:pPr>
        <w:autoSpaceDE w:val="0"/>
        <w:spacing w:line="560" w:lineRule="exact"/>
        <w:ind w:firstLine="640" w:firstLineChars="200"/>
        <w:rPr>
          <w:rFonts w:ascii="黑体" w:hAnsi="黑体" w:eastAsia="黑体"/>
          <w:sz w:val="32"/>
          <w:szCs w:val="32"/>
        </w:rPr>
      </w:pPr>
      <w:r>
        <w:rPr>
          <w:rFonts w:hint="eastAsia" w:ascii="黑体" w:hAnsi="黑体" w:eastAsia="黑体"/>
          <w:sz w:val="32"/>
          <w:szCs w:val="32"/>
        </w:rPr>
        <w:t>四、分级分类监管</w:t>
      </w:r>
    </w:p>
    <w:p>
      <w:pPr>
        <w:autoSpaceDE w:val="0"/>
        <w:spacing w:line="560" w:lineRule="exact"/>
        <w:ind w:firstLine="643" w:firstLineChars="200"/>
        <w:rPr>
          <w:rFonts w:ascii="仿宋_GB2312" w:hAnsi="Calibri" w:eastAsia="仿宋_GB2312"/>
          <w:sz w:val="32"/>
          <w:szCs w:val="32"/>
        </w:rPr>
      </w:pPr>
      <w:r>
        <w:rPr>
          <w:rFonts w:hint="eastAsia" w:ascii="仿宋_GB2312" w:hAnsi="Calibri" w:eastAsia="仿宋_GB2312"/>
          <w:b/>
          <w:bCs/>
          <w:sz w:val="32"/>
          <w:szCs w:val="32"/>
        </w:rPr>
        <w:t>（一）将监管对象分为重点监管单位和一般监管单位</w:t>
      </w:r>
    </w:p>
    <w:p>
      <w:pPr>
        <w:autoSpaceDE w:val="0"/>
        <w:spacing w:line="560" w:lineRule="exact"/>
        <w:ind w:firstLine="640" w:firstLineChars="200"/>
        <w:rPr>
          <w:rFonts w:ascii="仿宋_GB2312" w:hAnsi="Calibri" w:eastAsia="仿宋_GB2312"/>
          <w:sz w:val="32"/>
          <w:szCs w:val="32"/>
        </w:rPr>
      </w:pPr>
      <w:r>
        <w:rPr>
          <w:rFonts w:hint="eastAsia" w:ascii="仿宋_GB2312" w:hAnsi="Calibri" w:eastAsia="仿宋_GB2312"/>
          <w:sz w:val="32"/>
          <w:szCs w:val="32"/>
        </w:rPr>
        <w:t>重点监管单位是指：粉尘涉爆、含</w:t>
      </w:r>
      <w:r>
        <w:rPr>
          <w:rFonts w:hint="eastAsia" w:ascii="仿宋" w:hAnsi="仿宋" w:eastAsia="仿宋"/>
          <w:sz w:val="32"/>
          <w:szCs w:val="32"/>
        </w:rPr>
        <w:t>危险化学品使用或储存的工贸行业单位、</w:t>
      </w:r>
      <w:r>
        <w:rPr>
          <w:rFonts w:hint="eastAsia" w:ascii="仿宋_GB2312" w:hAnsi="Calibri" w:eastAsia="仿宋_GB2312"/>
          <w:sz w:val="32"/>
          <w:szCs w:val="32"/>
        </w:rPr>
        <w:t>烟花爆竹批发企业、近三年发生亡人事故单位；</w:t>
      </w:r>
    </w:p>
    <w:p>
      <w:pPr>
        <w:autoSpaceDE w:val="0"/>
        <w:spacing w:line="560" w:lineRule="exact"/>
        <w:ind w:firstLine="640" w:firstLineChars="200"/>
        <w:rPr>
          <w:rFonts w:ascii="仿宋_GB2312" w:hAnsi="Calibri" w:eastAsia="仿宋_GB2312"/>
          <w:sz w:val="32"/>
          <w:szCs w:val="32"/>
        </w:rPr>
      </w:pPr>
      <w:r>
        <w:rPr>
          <w:rFonts w:hint="eastAsia" w:ascii="仿宋_GB2312" w:hAnsi="Calibri" w:eastAsia="仿宋_GB2312"/>
          <w:sz w:val="32"/>
          <w:szCs w:val="32"/>
        </w:rPr>
        <w:t>一般监管单位是指：上述以外的其他监管单位。</w:t>
      </w:r>
    </w:p>
    <w:p>
      <w:pPr>
        <w:autoSpaceDE w:val="0"/>
        <w:spacing w:line="560" w:lineRule="exact"/>
        <w:ind w:firstLine="643" w:firstLineChars="200"/>
        <w:rPr>
          <w:rFonts w:ascii="仿宋_GB2312" w:hAnsi="Calibri" w:eastAsia="仿宋_GB2312"/>
          <w:b/>
          <w:bCs/>
          <w:sz w:val="32"/>
          <w:szCs w:val="32"/>
        </w:rPr>
      </w:pPr>
      <w:r>
        <w:rPr>
          <w:rFonts w:hint="eastAsia" w:ascii="仿宋_GB2312" w:hAnsi="Calibri" w:eastAsia="仿宋_GB2312"/>
          <w:b/>
          <w:bCs/>
          <w:sz w:val="32"/>
          <w:szCs w:val="32"/>
        </w:rPr>
        <w:t>（二）检查单位数量</w:t>
      </w:r>
    </w:p>
    <w:p>
      <w:pPr>
        <w:autoSpaceDE w:val="0"/>
        <w:spacing w:line="560" w:lineRule="exact"/>
        <w:ind w:firstLine="640" w:firstLineChars="200"/>
        <w:rPr>
          <w:rFonts w:eastAsia="仿宋_GB2312"/>
          <w:sz w:val="32"/>
          <w:szCs w:val="32"/>
        </w:rPr>
      </w:pPr>
      <w:r>
        <w:rPr>
          <w:rFonts w:hint="eastAsia" w:ascii="仿宋_GB2312" w:hAnsi="Calibri" w:eastAsia="仿宋_GB2312"/>
          <w:sz w:val="32"/>
          <w:szCs w:val="32"/>
        </w:rPr>
        <w:t>区本级2022年度直接监管的重点单位19家，一般单位88家（按20%比例双随机抽查抽查一般单位17家），市局列入2家“双随机”范围的除外。</w:t>
      </w:r>
    </w:p>
    <w:p>
      <w:pPr>
        <w:autoSpaceDE w:val="0"/>
        <w:spacing w:line="560" w:lineRule="exact"/>
        <w:ind w:firstLine="640" w:firstLineChars="200"/>
        <w:rPr>
          <w:rFonts w:ascii="黑体" w:hAnsi="黑体" w:eastAsia="黑体"/>
          <w:sz w:val="32"/>
          <w:szCs w:val="32"/>
        </w:rPr>
      </w:pPr>
      <w:r>
        <w:rPr>
          <w:rFonts w:hint="eastAsia" w:ascii="黑体" w:hAnsi="黑体" w:eastAsia="黑体"/>
          <w:sz w:val="32"/>
          <w:szCs w:val="32"/>
        </w:rPr>
        <w:t>五、重点监管执法对象及频次</w:t>
      </w:r>
    </w:p>
    <w:p>
      <w:pPr>
        <w:autoSpaceDE w:val="0"/>
        <w:spacing w:line="560" w:lineRule="exact"/>
        <w:ind w:firstLine="640" w:firstLineChars="200"/>
        <w:rPr>
          <w:rFonts w:ascii="仿宋_GB2312" w:eastAsia="仿宋_GB2312"/>
          <w:sz w:val="32"/>
          <w:szCs w:val="32"/>
        </w:rPr>
      </w:pPr>
      <w:r>
        <w:rPr>
          <w:rFonts w:hint="eastAsia" w:ascii="仿宋_GB2312" w:eastAsia="仿宋_GB2312"/>
          <w:sz w:val="32"/>
          <w:szCs w:val="32"/>
        </w:rPr>
        <w:t>按照分类分级实施安全监管执法的要求，由工贸烟花股执法人员组成执法组，聘请相关专家或专业技术人员协助，全年直接监管执法单位21家。具体安排如下：</w:t>
      </w:r>
    </w:p>
    <w:p>
      <w:pPr>
        <w:adjustRightInd w:val="0"/>
        <w:snapToGrid w:val="0"/>
        <w:spacing w:line="560" w:lineRule="exact"/>
        <w:ind w:firstLine="643" w:firstLineChars="200"/>
        <w:rPr>
          <w:rFonts w:ascii="仿宋_GB2312" w:eastAsia="仿宋_GB2312"/>
          <w:b/>
          <w:bCs/>
          <w:sz w:val="32"/>
          <w:szCs w:val="32"/>
        </w:rPr>
      </w:pPr>
      <w:r>
        <w:rPr>
          <w:rFonts w:hint="eastAsia" w:ascii="仿宋_GB2312" w:eastAsia="仿宋_GB2312"/>
          <w:b/>
          <w:bCs/>
          <w:sz w:val="32"/>
          <w:szCs w:val="32"/>
        </w:rPr>
        <w:t>（一）直接监管执法</w:t>
      </w:r>
    </w:p>
    <w:tbl>
      <w:tblPr>
        <w:tblStyle w:val="5"/>
        <w:tblW w:w="903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
      <w:tblGrid>
        <w:gridCol w:w="717"/>
        <w:gridCol w:w="5059"/>
        <w:gridCol w:w="696"/>
        <w:gridCol w:w="954"/>
        <w:gridCol w:w="160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597" w:hRule="atLeast"/>
          <w:jc w:val="center"/>
        </w:trPr>
        <w:tc>
          <w:tcPr>
            <w:tcW w:w="71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_GB2312" w:hAnsi="宋体" w:eastAsia="仿宋_GB2312" w:cs="宋体"/>
                <w:b/>
                <w:color w:val="000000"/>
                <w:kern w:val="0"/>
                <w:sz w:val="22"/>
                <w:szCs w:val="22"/>
              </w:rPr>
            </w:pPr>
            <w:r>
              <w:rPr>
                <w:rFonts w:hint="eastAsia" w:ascii="仿宋_GB2312" w:hAnsi="宋体" w:eastAsia="仿宋_GB2312" w:cs="宋体"/>
                <w:b/>
                <w:color w:val="000000"/>
                <w:kern w:val="0"/>
                <w:sz w:val="22"/>
                <w:szCs w:val="22"/>
              </w:rPr>
              <w:t>序号</w:t>
            </w:r>
          </w:p>
        </w:tc>
        <w:tc>
          <w:tcPr>
            <w:tcW w:w="5059" w:type="dxa"/>
            <w:tcBorders>
              <w:top w:val="single" w:color="000000" w:sz="4" w:space="0"/>
              <w:left w:val="nil"/>
              <w:bottom w:val="single" w:color="000000" w:sz="4" w:space="0"/>
              <w:right w:val="single" w:color="auto" w:sz="4" w:space="0"/>
            </w:tcBorders>
            <w:vAlign w:val="center"/>
          </w:tcPr>
          <w:p>
            <w:pPr>
              <w:widowControl/>
              <w:jc w:val="center"/>
              <w:rPr>
                <w:rFonts w:ascii="仿宋_GB2312" w:hAnsi="宋体" w:eastAsia="仿宋_GB2312" w:cs="宋体"/>
                <w:b/>
                <w:color w:val="000000"/>
                <w:kern w:val="0"/>
                <w:sz w:val="22"/>
                <w:szCs w:val="22"/>
              </w:rPr>
            </w:pPr>
            <w:r>
              <w:rPr>
                <w:rFonts w:hint="eastAsia" w:ascii="仿宋_GB2312" w:hAnsi="宋体" w:eastAsia="仿宋_GB2312" w:cs="宋体"/>
                <w:b/>
                <w:color w:val="000000"/>
                <w:kern w:val="0"/>
                <w:sz w:val="22"/>
                <w:szCs w:val="22"/>
              </w:rPr>
              <w:t>2022年计划执法单位</w:t>
            </w:r>
          </w:p>
        </w:tc>
        <w:tc>
          <w:tcPr>
            <w:tcW w:w="696" w:type="dxa"/>
            <w:tcBorders>
              <w:top w:val="single" w:color="000000" w:sz="4" w:space="0"/>
              <w:left w:val="nil"/>
              <w:bottom w:val="single" w:color="000000" w:sz="4" w:space="0"/>
              <w:right w:val="single" w:color="auto" w:sz="4" w:space="0"/>
            </w:tcBorders>
            <w:vAlign w:val="center"/>
          </w:tcPr>
          <w:p>
            <w:pPr>
              <w:widowControl/>
              <w:jc w:val="center"/>
              <w:rPr>
                <w:rFonts w:ascii="仿宋_GB2312" w:hAnsi="宋体" w:eastAsia="仿宋_GB2312" w:cs="宋体"/>
                <w:b/>
                <w:color w:val="000000"/>
                <w:kern w:val="0"/>
                <w:sz w:val="22"/>
                <w:szCs w:val="22"/>
              </w:rPr>
            </w:pPr>
            <w:r>
              <w:rPr>
                <w:rFonts w:hint="eastAsia" w:ascii="仿宋_GB2312" w:hAnsi="宋体" w:eastAsia="仿宋_GB2312" w:cs="宋体"/>
                <w:b/>
                <w:color w:val="000000"/>
                <w:kern w:val="0"/>
                <w:sz w:val="22"/>
                <w:szCs w:val="22"/>
              </w:rPr>
              <w:t>执法频次</w:t>
            </w:r>
          </w:p>
        </w:tc>
        <w:tc>
          <w:tcPr>
            <w:tcW w:w="954" w:type="dxa"/>
            <w:tcBorders>
              <w:top w:val="single" w:color="000000" w:sz="4" w:space="0"/>
              <w:left w:val="nil"/>
              <w:bottom w:val="single" w:color="000000" w:sz="4" w:space="0"/>
              <w:right w:val="single" w:color="000000" w:sz="4" w:space="0"/>
            </w:tcBorders>
            <w:vAlign w:val="center"/>
          </w:tcPr>
          <w:p>
            <w:pPr>
              <w:widowControl/>
              <w:jc w:val="center"/>
              <w:rPr>
                <w:rFonts w:ascii="仿宋_GB2312" w:hAnsi="宋体" w:eastAsia="仿宋_GB2312" w:cs="宋体"/>
                <w:b/>
                <w:color w:val="000000"/>
                <w:kern w:val="0"/>
                <w:sz w:val="22"/>
                <w:szCs w:val="22"/>
              </w:rPr>
            </w:pPr>
            <w:r>
              <w:rPr>
                <w:rFonts w:hint="eastAsia" w:ascii="仿宋_GB2312" w:hAnsi="宋体" w:eastAsia="仿宋_GB2312" w:cs="宋体"/>
                <w:b/>
                <w:color w:val="000000"/>
                <w:kern w:val="0"/>
                <w:sz w:val="22"/>
                <w:szCs w:val="22"/>
              </w:rPr>
              <w:t>等级分类</w:t>
            </w:r>
          </w:p>
        </w:tc>
        <w:tc>
          <w:tcPr>
            <w:tcW w:w="1604" w:type="dxa"/>
            <w:tcBorders>
              <w:top w:val="single" w:color="000000" w:sz="4" w:space="0"/>
              <w:left w:val="nil"/>
              <w:bottom w:val="single" w:color="000000" w:sz="4" w:space="0"/>
              <w:right w:val="single" w:color="000000" w:sz="4" w:space="0"/>
            </w:tcBorders>
            <w:vAlign w:val="center"/>
          </w:tcPr>
          <w:p>
            <w:pPr>
              <w:widowControl/>
              <w:jc w:val="center"/>
              <w:rPr>
                <w:rFonts w:ascii="仿宋_GB2312" w:hAnsi="宋体" w:eastAsia="仿宋_GB2312" w:cs="宋体"/>
                <w:b/>
                <w:color w:val="000000"/>
                <w:kern w:val="0"/>
                <w:sz w:val="22"/>
                <w:szCs w:val="22"/>
              </w:rPr>
            </w:pPr>
            <w:r>
              <w:rPr>
                <w:rFonts w:hint="eastAsia" w:ascii="仿宋_GB2312" w:hAnsi="宋体" w:eastAsia="仿宋_GB2312" w:cs="宋体"/>
                <w:b/>
                <w:color w:val="000000"/>
                <w:kern w:val="0"/>
                <w:sz w:val="22"/>
                <w:szCs w:val="22"/>
              </w:rPr>
              <w:t>检查人员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597" w:hRule="atLeast"/>
          <w:jc w:val="center"/>
        </w:trPr>
        <w:tc>
          <w:tcPr>
            <w:tcW w:w="717" w:type="dxa"/>
            <w:tcBorders>
              <w:top w:val="single" w:color="000000" w:sz="4" w:space="0"/>
              <w:left w:val="single" w:color="000000" w:sz="4" w:space="0"/>
              <w:bottom w:val="single" w:color="000000" w:sz="4" w:space="0"/>
              <w:right w:val="single" w:color="000000" w:sz="4" w:space="0"/>
            </w:tcBorders>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1</w:t>
            </w:r>
          </w:p>
        </w:tc>
        <w:tc>
          <w:tcPr>
            <w:tcW w:w="5059" w:type="dxa"/>
            <w:tcBorders>
              <w:top w:val="single" w:color="000000" w:sz="4" w:space="0"/>
              <w:left w:val="nil"/>
              <w:bottom w:val="single" w:color="000000" w:sz="4" w:space="0"/>
              <w:right w:val="single" w:color="auto" w:sz="4" w:space="0"/>
            </w:tcBorders>
          </w:tcPr>
          <w:p>
            <w:pPr>
              <w:widowControl/>
              <w:spacing w:before="120" w:after="120"/>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岳阳市九原复合材料有限公司</w:t>
            </w:r>
          </w:p>
        </w:tc>
        <w:tc>
          <w:tcPr>
            <w:tcW w:w="696" w:type="dxa"/>
            <w:tcBorders>
              <w:top w:val="single" w:color="000000" w:sz="4" w:space="0"/>
              <w:left w:val="nil"/>
              <w:bottom w:val="single" w:color="000000" w:sz="4" w:space="0"/>
              <w:right w:val="single" w:color="auto" w:sz="4" w:space="0"/>
            </w:tcBorders>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2次</w:t>
            </w:r>
          </w:p>
        </w:tc>
        <w:tc>
          <w:tcPr>
            <w:tcW w:w="954" w:type="dxa"/>
            <w:tcBorders>
              <w:top w:val="single" w:color="000000" w:sz="4" w:space="0"/>
              <w:left w:val="nil"/>
              <w:bottom w:val="single" w:color="000000" w:sz="4" w:space="0"/>
              <w:right w:val="single" w:color="000000" w:sz="4" w:space="0"/>
            </w:tcBorders>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重点</w:t>
            </w:r>
          </w:p>
        </w:tc>
        <w:tc>
          <w:tcPr>
            <w:tcW w:w="1604" w:type="dxa"/>
            <w:vMerge w:val="restart"/>
            <w:tcBorders>
              <w:top w:val="nil"/>
              <w:left w:val="nil"/>
              <w:bottom w:val="single" w:color="000000" w:sz="4" w:space="0"/>
              <w:right w:val="single" w:color="000000" w:sz="4" w:space="0"/>
            </w:tcBorders>
          </w:tcPr>
          <w:p>
            <w:pPr>
              <w:widowControl/>
              <w:rPr>
                <w:rFonts w:ascii="仿宋_GB2312" w:hAnsi="宋体" w:eastAsia="仿宋_GB2312" w:cs="宋体"/>
                <w:color w:val="000000"/>
                <w:kern w:val="0"/>
                <w:sz w:val="22"/>
                <w:szCs w:val="22"/>
              </w:rPr>
            </w:pPr>
          </w:p>
          <w:p>
            <w:pPr>
              <w:widowControl/>
              <w:rPr>
                <w:rFonts w:ascii="仿宋_GB2312" w:hAnsi="宋体" w:eastAsia="仿宋_GB2312" w:cs="宋体"/>
                <w:color w:val="000000"/>
                <w:kern w:val="0"/>
                <w:sz w:val="22"/>
                <w:szCs w:val="22"/>
              </w:rPr>
            </w:pPr>
          </w:p>
          <w:p>
            <w:pPr>
              <w:widowControl/>
              <w:rPr>
                <w:rFonts w:ascii="仿宋_GB2312" w:hAnsi="宋体" w:eastAsia="仿宋_GB2312" w:cs="宋体"/>
                <w:color w:val="000000"/>
                <w:kern w:val="0"/>
                <w:sz w:val="22"/>
                <w:szCs w:val="22"/>
              </w:rPr>
            </w:pPr>
          </w:p>
          <w:p>
            <w:pPr>
              <w:widowControl/>
              <w:rPr>
                <w:rFonts w:ascii="仿宋_GB2312" w:hAnsi="宋体" w:eastAsia="仿宋_GB2312" w:cs="宋体"/>
                <w:color w:val="000000"/>
                <w:kern w:val="0"/>
                <w:sz w:val="22"/>
                <w:szCs w:val="22"/>
              </w:rPr>
            </w:pPr>
          </w:p>
          <w:p>
            <w:pPr>
              <w:widowControl/>
              <w:rPr>
                <w:rFonts w:ascii="仿宋_GB2312" w:hAnsi="宋体" w:eastAsia="仿宋_GB2312" w:cs="宋体"/>
                <w:color w:val="000000"/>
                <w:kern w:val="0"/>
                <w:sz w:val="22"/>
                <w:szCs w:val="22"/>
              </w:rPr>
            </w:pPr>
          </w:p>
          <w:p>
            <w:pPr>
              <w:widowControl/>
              <w:rPr>
                <w:rFonts w:ascii="仿宋_GB2312" w:hAnsi="宋体" w:eastAsia="仿宋_GB2312" w:cs="宋体"/>
                <w:color w:val="000000"/>
                <w:kern w:val="0"/>
                <w:sz w:val="22"/>
                <w:szCs w:val="22"/>
              </w:rPr>
            </w:pPr>
          </w:p>
          <w:p>
            <w:pPr>
              <w:widowControl/>
              <w:rPr>
                <w:rFonts w:ascii="仿宋_GB2312" w:hAnsi="宋体" w:eastAsia="仿宋_GB2312" w:cs="宋体"/>
                <w:color w:val="000000"/>
                <w:kern w:val="0"/>
                <w:sz w:val="22"/>
                <w:szCs w:val="22"/>
              </w:rPr>
            </w:pPr>
          </w:p>
          <w:p>
            <w:pPr>
              <w:widowControl/>
              <w:rPr>
                <w:rFonts w:ascii="仿宋_GB2312" w:hAnsi="宋体" w:eastAsia="仿宋_GB2312" w:cs="宋体"/>
                <w:color w:val="000000"/>
                <w:kern w:val="0"/>
                <w:sz w:val="22"/>
                <w:szCs w:val="22"/>
              </w:rPr>
            </w:pPr>
          </w:p>
          <w:p>
            <w:pPr>
              <w:widowControl/>
              <w:rPr>
                <w:rFonts w:ascii="仿宋_GB2312" w:hAnsi="宋体" w:eastAsia="仿宋_GB2312" w:cs="宋体"/>
                <w:color w:val="000000"/>
                <w:kern w:val="0"/>
                <w:sz w:val="22"/>
                <w:szCs w:val="22"/>
              </w:rPr>
            </w:pPr>
          </w:p>
          <w:p>
            <w:pPr>
              <w:widowControl/>
              <w:rPr>
                <w:rFonts w:ascii="仿宋_GB2312" w:hAnsi="宋体" w:eastAsia="仿宋_GB2312" w:cs="宋体"/>
                <w:color w:val="000000"/>
                <w:kern w:val="0"/>
                <w:sz w:val="22"/>
                <w:szCs w:val="22"/>
              </w:rPr>
            </w:pPr>
          </w:p>
          <w:p>
            <w:pPr>
              <w:widowControl/>
              <w:rPr>
                <w:rFonts w:ascii="仿宋_GB2312" w:hAnsi="宋体" w:eastAsia="仿宋_GB2312" w:cs="宋体"/>
                <w:color w:val="000000"/>
                <w:kern w:val="0"/>
                <w:sz w:val="22"/>
                <w:szCs w:val="22"/>
              </w:rPr>
            </w:pPr>
          </w:p>
          <w:p>
            <w:pPr>
              <w:widowControl/>
              <w:rPr>
                <w:rFonts w:ascii="仿宋_GB2312" w:hAnsi="宋体" w:eastAsia="仿宋_GB2312" w:cs="宋体"/>
                <w:color w:val="000000"/>
                <w:kern w:val="0"/>
                <w:sz w:val="22"/>
                <w:szCs w:val="22"/>
              </w:rPr>
            </w:pPr>
          </w:p>
          <w:p>
            <w:pPr>
              <w:widowControl/>
              <w:rPr>
                <w:rFonts w:ascii="仿宋_GB2312" w:hAnsi="宋体" w:eastAsia="仿宋_GB2312" w:cs="宋体"/>
                <w:color w:val="000000"/>
                <w:kern w:val="0"/>
                <w:sz w:val="22"/>
                <w:szCs w:val="22"/>
              </w:rPr>
            </w:pPr>
          </w:p>
          <w:p>
            <w:pPr>
              <w:widowControl/>
              <w:rPr>
                <w:rFonts w:ascii="仿宋_GB2312" w:hAnsi="宋体" w:eastAsia="仿宋_GB2312" w:cs="宋体"/>
                <w:color w:val="000000"/>
                <w:kern w:val="0"/>
                <w:sz w:val="22"/>
                <w:szCs w:val="22"/>
              </w:rPr>
            </w:pPr>
          </w:p>
          <w:p>
            <w:pPr>
              <w:widowControl/>
              <w:rPr>
                <w:rFonts w:ascii="仿宋_GB2312" w:hAnsi="宋体" w:eastAsia="仿宋_GB2312" w:cs="宋体"/>
                <w:color w:val="000000"/>
                <w:kern w:val="0"/>
                <w:sz w:val="22"/>
                <w:szCs w:val="22"/>
              </w:rPr>
            </w:pPr>
          </w:p>
          <w:p>
            <w:pPr>
              <w:widowControl/>
              <w:rPr>
                <w:rFonts w:ascii="仿宋_GB2312" w:hAnsi="宋体" w:eastAsia="仿宋_GB2312" w:cs="宋体"/>
                <w:color w:val="000000"/>
                <w:kern w:val="0"/>
                <w:sz w:val="22"/>
                <w:szCs w:val="22"/>
              </w:rPr>
            </w:pPr>
          </w:p>
          <w:p>
            <w:pPr>
              <w:widowControl/>
              <w:rPr>
                <w:rFonts w:ascii="仿宋_GB2312" w:hAnsi="宋体" w:eastAsia="仿宋_GB2312" w:cs="宋体"/>
                <w:color w:val="000000"/>
                <w:kern w:val="0"/>
                <w:sz w:val="22"/>
                <w:szCs w:val="22"/>
              </w:rPr>
            </w:pPr>
          </w:p>
          <w:p>
            <w:pPr>
              <w:widowControl/>
              <w:rPr>
                <w:rFonts w:ascii="仿宋_GB2312" w:hAnsi="宋体" w:eastAsia="仿宋_GB2312" w:cs="宋体"/>
                <w:color w:val="000000"/>
                <w:kern w:val="0"/>
                <w:sz w:val="22"/>
                <w:szCs w:val="22"/>
              </w:rPr>
            </w:pPr>
          </w:p>
          <w:p>
            <w:pPr>
              <w:widowControl/>
              <w:rPr>
                <w:rFonts w:ascii="仿宋_GB2312" w:hAnsi="宋体" w:eastAsia="仿宋_GB2312" w:cs="宋体"/>
                <w:color w:val="000000"/>
                <w:kern w:val="0"/>
                <w:sz w:val="22"/>
                <w:szCs w:val="22"/>
              </w:rPr>
            </w:pPr>
          </w:p>
          <w:p>
            <w:pPr>
              <w:widowControl/>
              <w:rPr>
                <w:rFonts w:ascii="仿宋_GB2312" w:hAnsi="宋体" w:eastAsia="仿宋_GB2312" w:cs="宋体"/>
                <w:color w:val="000000"/>
                <w:kern w:val="0"/>
                <w:sz w:val="22"/>
                <w:szCs w:val="22"/>
              </w:rPr>
            </w:pPr>
          </w:p>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李太平</w:t>
            </w:r>
          </w:p>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赵  华</w:t>
            </w:r>
          </w:p>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王志超</w:t>
            </w:r>
          </w:p>
          <w:p>
            <w:pPr>
              <w:widowControl/>
              <w:rPr>
                <w:rFonts w:ascii="仿宋_GB2312" w:hAnsi="宋体" w:eastAsia="仿宋_GB2312" w:cs="宋体"/>
                <w:color w:val="000000"/>
                <w:kern w:val="0"/>
                <w:sz w:val="22"/>
                <w:szCs w:val="22"/>
              </w:rPr>
            </w:pPr>
          </w:p>
          <w:p>
            <w:pPr>
              <w:widowControl/>
              <w:rPr>
                <w:rFonts w:ascii="仿宋_GB2312" w:hAnsi="宋体" w:eastAsia="仿宋_GB2312" w:cs="宋体"/>
                <w:color w:val="000000"/>
                <w:kern w:val="0"/>
                <w:sz w:val="22"/>
                <w:szCs w:val="22"/>
              </w:rPr>
            </w:pPr>
          </w:p>
          <w:p>
            <w:pPr>
              <w:widowControl/>
              <w:rPr>
                <w:rFonts w:ascii="仿宋_GB2312" w:hAnsi="宋体" w:eastAsia="仿宋_GB2312" w:cs="宋体"/>
                <w:color w:val="000000"/>
                <w:kern w:val="0"/>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597" w:hRule="atLeast"/>
          <w:jc w:val="center"/>
        </w:trPr>
        <w:tc>
          <w:tcPr>
            <w:tcW w:w="717" w:type="dxa"/>
            <w:tcBorders>
              <w:top w:val="single" w:color="000000" w:sz="4" w:space="0"/>
              <w:left w:val="single" w:color="000000" w:sz="4" w:space="0"/>
              <w:bottom w:val="single" w:color="000000" w:sz="4" w:space="0"/>
              <w:right w:val="single" w:color="000000" w:sz="4" w:space="0"/>
            </w:tcBorders>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2</w:t>
            </w:r>
          </w:p>
        </w:tc>
        <w:tc>
          <w:tcPr>
            <w:tcW w:w="5059" w:type="dxa"/>
            <w:tcBorders>
              <w:top w:val="single" w:color="000000" w:sz="4" w:space="0"/>
              <w:left w:val="nil"/>
              <w:bottom w:val="single" w:color="000000" w:sz="4" w:space="0"/>
              <w:right w:val="single" w:color="auto" w:sz="4" w:space="0"/>
            </w:tcBorders>
          </w:tcPr>
          <w:p>
            <w:pPr>
              <w:widowControl/>
              <w:spacing w:before="120" w:after="120"/>
              <w:textAlignment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岳阳成成油化科技有限公司</w:t>
            </w:r>
          </w:p>
        </w:tc>
        <w:tc>
          <w:tcPr>
            <w:tcW w:w="696" w:type="dxa"/>
            <w:tcBorders>
              <w:top w:val="single" w:color="000000" w:sz="4" w:space="0"/>
              <w:left w:val="nil"/>
              <w:bottom w:val="single" w:color="000000" w:sz="4" w:space="0"/>
              <w:right w:val="single" w:color="auto" w:sz="4" w:space="0"/>
            </w:tcBorders>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2次</w:t>
            </w:r>
          </w:p>
        </w:tc>
        <w:tc>
          <w:tcPr>
            <w:tcW w:w="954" w:type="dxa"/>
            <w:tcBorders>
              <w:top w:val="single" w:color="000000" w:sz="4" w:space="0"/>
              <w:left w:val="nil"/>
              <w:bottom w:val="single" w:color="000000" w:sz="4" w:space="0"/>
              <w:right w:val="single" w:color="000000" w:sz="4" w:space="0"/>
            </w:tcBorders>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重点</w:t>
            </w:r>
          </w:p>
        </w:tc>
        <w:tc>
          <w:tcPr>
            <w:tcW w:w="1604" w:type="dxa"/>
            <w:vMerge w:val="continue"/>
            <w:tcBorders>
              <w:top w:val="nil"/>
              <w:left w:val="nil"/>
              <w:bottom w:val="single" w:color="000000" w:sz="4" w:space="0"/>
              <w:right w:val="single" w:color="000000" w:sz="4" w:space="0"/>
            </w:tcBorders>
            <w:vAlign w:val="center"/>
          </w:tcPr>
          <w:p>
            <w:pPr>
              <w:widowControl/>
              <w:jc w:val="left"/>
              <w:rPr>
                <w:rFonts w:ascii="仿宋" w:hAnsi="仿宋" w:eastAsia="仿宋"/>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597" w:hRule="atLeast"/>
          <w:jc w:val="center"/>
        </w:trPr>
        <w:tc>
          <w:tcPr>
            <w:tcW w:w="717" w:type="dxa"/>
            <w:tcBorders>
              <w:top w:val="single" w:color="000000" w:sz="4" w:space="0"/>
              <w:left w:val="single" w:color="000000" w:sz="4" w:space="0"/>
              <w:bottom w:val="single" w:color="000000" w:sz="4" w:space="0"/>
              <w:right w:val="single" w:color="000000" w:sz="4" w:space="0"/>
            </w:tcBorders>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3</w:t>
            </w:r>
          </w:p>
        </w:tc>
        <w:tc>
          <w:tcPr>
            <w:tcW w:w="5059" w:type="dxa"/>
            <w:tcBorders>
              <w:top w:val="single" w:color="000000" w:sz="4" w:space="0"/>
              <w:left w:val="nil"/>
              <w:bottom w:val="single" w:color="000000" w:sz="4" w:space="0"/>
              <w:right w:val="single" w:color="auto" w:sz="4" w:space="0"/>
            </w:tcBorders>
          </w:tcPr>
          <w:p>
            <w:pPr>
              <w:widowControl/>
              <w:spacing w:before="120" w:after="120"/>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岳阳鼎格云天环保科技有限公司</w:t>
            </w:r>
          </w:p>
        </w:tc>
        <w:tc>
          <w:tcPr>
            <w:tcW w:w="696" w:type="dxa"/>
            <w:tcBorders>
              <w:top w:val="single" w:color="000000" w:sz="4" w:space="0"/>
              <w:left w:val="nil"/>
              <w:bottom w:val="single" w:color="000000" w:sz="4" w:space="0"/>
              <w:right w:val="single" w:color="auto" w:sz="4" w:space="0"/>
            </w:tcBorders>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2次</w:t>
            </w:r>
          </w:p>
        </w:tc>
        <w:tc>
          <w:tcPr>
            <w:tcW w:w="954" w:type="dxa"/>
            <w:tcBorders>
              <w:top w:val="single" w:color="000000" w:sz="4" w:space="0"/>
              <w:left w:val="nil"/>
              <w:bottom w:val="single" w:color="000000" w:sz="4" w:space="0"/>
              <w:right w:val="single" w:color="000000" w:sz="4" w:space="0"/>
            </w:tcBorders>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重点</w:t>
            </w:r>
          </w:p>
        </w:tc>
        <w:tc>
          <w:tcPr>
            <w:tcW w:w="1604" w:type="dxa"/>
            <w:vMerge w:val="continue"/>
            <w:tcBorders>
              <w:top w:val="nil"/>
              <w:left w:val="nil"/>
              <w:bottom w:val="single" w:color="000000" w:sz="4" w:space="0"/>
              <w:right w:val="single" w:color="000000" w:sz="4" w:space="0"/>
            </w:tcBorders>
            <w:vAlign w:val="center"/>
          </w:tcPr>
          <w:p>
            <w:pPr>
              <w:widowControl/>
              <w:jc w:val="left"/>
              <w:rPr>
                <w:rFonts w:ascii="仿宋" w:hAnsi="仿宋" w:eastAsia="仿宋"/>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597" w:hRule="atLeast"/>
          <w:jc w:val="center"/>
        </w:trPr>
        <w:tc>
          <w:tcPr>
            <w:tcW w:w="717" w:type="dxa"/>
            <w:tcBorders>
              <w:top w:val="single" w:color="000000" w:sz="4" w:space="0"/>
              <w:left w:val="single" w:color="000000" w:sz="4" w:space="0"/>
              <w:bottom w:val="single" w:color="000000" w:sz="4" w:space="0"/>
              <w:right w:val="single" w:color="000000" w:sz="4" w:space="0"/>
            </w:tcBorders>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4</w:t>
            </w:r>
          </w:p>
        </w:tc>
        <w:tc>
          <w:tcPr>
            <w:tcW w:w="5059" w:type="dxa"/>
            <w:tcBorders>
              <w:top w:val="single" w:color="000000" w:sz="4" w:space="0"/>
              <w:left w:val="nil"/>
              <w:bottom w:val="single" w:color="000000" w:sz="4" w:space="0"/>
              <w:right w:val="single" w:color="auto" w:sz="4" w:space="0"/>
            </w:tcBorders>
          </w:tcPr>
          <w:p>
            <w:pPr>
              <w:widowControl/>
              <w:spacing w:before="120" w:after="120"/>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湖南尤特尔生化有限公司</w:t>
            </w:r>
          </w:p>
        </w:tc>
        <w:tc>
          <w:tcPr>
            <w:tcW w:w="696" w:type="dxa"/>
            <w:tcBorders>
              <w:top w:val="single" w:color="000000" w:sz="4" w:space="0"/>
              <w:left w:val="nil"/>
              <w:bottom w:val="single" w:color="000000" w:sz="4" w:space="0"/>
              <w:right w:val="single" w:color="auto" w:sz="4" w:space="0"/>
            </w:tcBorders>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2次</w:t>
            </w:r>
          </w:p>
        </w:tc>
        <w:tc>
          <w:tcPr>
            <w:tcW w:w="954" w:type="dxa"/>
            <w:tcBorders>
              <w:top w:val="single" w:color="000000" w:sz="4" w:space="0"/>
              <w:left w:val="nil"/>
              <w:bottom w:val="single" w:color="000000" w:sz="4" w:space="0"/>
              <w:right w:val="single" w:color="000000" w:sz="4" w:space="0"/>
            </w:tcBorders>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重点</w:t>
            </w:r>
          </w:p>
        </w:tc>
        <w:tc>
          <w:tcPr>
            <w:tcW w:w="1604" w:type="dxa"/>
            <w:vMerge w:val="continue"/>
            <w:tcBorders>
              <w:top w:val="nil"/>
              <w:left w:val="nil"/>
              <w:bottom w:val="single" w:color="000000" w:sz="4" w:space="0"/>
              <w:right w:val="single" w:color="000000" w:sz="4" w:space="0"/>
            </w:tcBorders>
            <w:vAlign w:val="center"/>
          </w:tcPr>
          <w:p>
            <w:pPr>
              <w:widowControl/>
              <w:jc w:val="left"/>
              <w:rPr>
                <w:rFonts w:ascii="仿宋" w:hAnsi="仿宋" w:eastAsia="仿宋"/>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597" w:hRule="atLeast"/>
          <w:jc w:val="center"/>
        </w:trPr>
        <w:tc>
          <w:tcPr>
            <w:tcW w:w="717" w:type="dxa"/>
            <w:tcBorders>
              <w:top w:val="single" w:color="000000" w:sz="4" w:space="0"/>
              <w:left w:val="single" w:color="000000" w:sz="4" w:space="0"/>
              <w:bottom w:val="single" w:color="000000" w:sz="4" w:space="0"/>
              <w:right w:val="single" w:color="000000" w:sz="4" w:space="0"/>
            </w:tcBorders>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5</w:t>
            </w:r>
          </w:p>
        </w:tc>
        <w:tc>
          <w:tcPr>
            <w:tcW w:w="5059" w:type="dxa"/>
            <w:tcBorders>
              <w:top w:val="single" w:color="000000" w:sz="4" w:space="0"/>
              <w:left w:val="nil"/>
              <w:bottom w:val="single" w:color="000000" w:sz="4" w:space="0"/>
              <w:right w:val="single" w:color="auto" w:sz="4" w:space="0"/>
            </w:tcBorders>
          </w:tcPr>
          <w:p>
            <w:pPr>
              <w:widowControl/>
              <w:spacing w:before="120" w:after="120"/>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湖南中宝石化有限公司</w:t>
            </w:r>
          </w:p>
        </w:tc>
        <w:tc>
          <w:tcPr>
            <w:tcW w:w="696" w:type="dxa"/>
            <w:tcBorders>
              <w:top w:val="single" w:color="000000" w:sz="4" w:space="0"/>
              <w:left w:val="nil"/>
              <w:bottom w:val="single" w:color="000000" w:sz="4" w:space="0"/>
              <w:right w:val="single" w:color="auto" w:sz="4" w:space="0"/>
            </w:tcBorders>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2次</w:t>
            </w:r>
          </w:p>
        </w:tc>
        <w:tc>
          <w:tcPr>
            <w:tcW w:w="954" w:type="dxa"/>
            <w:tcBorders>
              <w:top w:val="single" w:color="000000" w:sz="4" w:space="0"/>
              <w:left w:val="nil"/>
              <w:bottom w:val="single" w:color="000000" w:sz="4" w:space="0"/>
              <w:right w:val="single" w:color="000000" w:sz="4" w:space="0"/>
            </w:tcBorders>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重点</w:t>
            </w:r>
          </w:p>
        </w:tc>
        <w:tc>
          <w:tcPr>
            <w:tcW w:w="1604" w:type="dxa"/>
            <w:vMerge w:val="continue"/>
            <w:tcBorders>
              <w:top w:val="nil"/>
              <w:left w:val="nil"/>
              <w:bottom w:val="single" w:color="000000" w:sz="4" w:space="0"/>
              <w:right w:val="single" w:color="000000" w:sz="4" w:space="0"/>
            </w:tcBorders>
            <w:vAlign w:val="center"/>
          </w:tcPr>
          <w:p>
            <w:pPr>
              <w:widowControl/>
              <w:jc w:val="left"/>
              <w:rPr>
                <w:rFonts w:ascii="仿宋" w:hAnsi="仿宋" w:eastAsia="仿宋"/>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597" w:hRule="atLeast"/>
          <w:jc w:val="center"/>
        </w:trPr>
        <w:tc>
          <w:tcPr>
            <w:tcW w:w="717" w:type="dxa"/>
            <w:tcBorders>
              <w:top w:val="single" w:color="000000" w:sz="4" w:space="0"/>
              <w:left w:val="single" w:color="000000" w:sz="4" w:space="0"/>
              <w:bottom w:val="single" w:color="000000" w:sz="4" w:space="0"/>
              <w:right w:val="single" w:color="000000" w:sz="4" w:space="0"/>
            </w:tcBorders>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6</w:t>
            </w:r>
          </w:p>
        </w:tc>
        <w:tc>
          <w:tcPr>
            <w:tcW w:w="5059" w:type="dxa"/>
            <w:tcBorders>
              <w:top w:val="single" w:color="000000" w:sz="4" w:space="0"/>
              <w:left w:val="nil"/>
              <w:bottom w:val="single" w:color="000000" w:sz="4" w:space="0"/>
              <w:right w:val="single" w:color="auto" w:sz="4" w:space="0"/>
            </w:tcBorders>
          </w:tcPr>
          <w:p>
            <w:pPr>
              <w:widowControl/>
              <w:spacing w:before="120" w:after="120"/>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湖南鼎诺新材料科技有限公司</w:t>
            </w:r>
          </w:p>
        </w:tc>
        <w:tc>
          <w:tcPr>
            <w:tcW w:w="696" w:type="dxa"/>
            <w:tcBorders>
              <w:top w:val="single" w:color="000000" w:sz="4" w:space="0"/>
              <w:left w:val="nil"/>
              <w:bottom w:val="single" w:color="000000" w:sz="4" w:space="0"/>
              <w:right w:val="single" w:color="auto" w:sz="4" w:space="0"/>
            </w:tcBorders>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2次</w:t>
            </w:r>
          </w:p>
        </w:tc>
        <w:tc>
          <w:tcPr>
            <w:tcW w:w="954" w:type="dxa"/>
            <w:tcBorders>
              <w:top w:val="single" w:color="000000" w:sz="4" w:space="0"/>
              <w:left w:val="nil"/>
              <w:bottom w:val="single" w:color="000000" w:sz="4" w:space="0"/>
              <w:right w:val="single" w:color="000000" w:sz="4" w:space="0"/>
            </w:tcBorders>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重点</w:t>
            </w:r>
          </w:p>
        </w:tc>
        <w:tc>
          <w:tcPr>
            <w:tcW w:w="1604" w:type="dxa"/>
            <w:vMerge w:val="continue"/>
            <w:tcBorders>
              <w:top w:val="nil"/>
              <w:left w:val="nil"/>
              <w:bottom w:val="single" w:color="000000" w:sz="4" w:space="0"/>
              <w:right w:val="single" w:color="000000" w:sz="4" w:space="0"/>
            </w:tcBorders>
            <w:vAlign w:val="center"/>
          </w:tcPr>
          <w:p>
            <w:pPr>
              <w:widowControl/>
              <w:jc w:val="left"/>
              <w:rPr>
                <w:rFonts w:ascii="仿宋" w:hAnsi="仿宋" w:eastAsia="仿宋"/>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597" w:hRule="atLeast"/>
          <w:jc w:val="center"/>
        </w:trPr>
        <w:tc>
          <w:tcPr>
            <w:tcW w:w="717" w:type="dxa"/>
            <w:tcBorders>
              <w:top w:val="single" w:color="000000" w:sz="4" w:space="0"/>
              <w:left w:val="single" w:color="000000" w:sz="4" w:space="0"/>
              <w:bottom w:val="single" w:color="000000" w:sz="4" w:space="0"/>
              <w:right w:val="single" w:color="000000" w:sz="4" w:space="0"/>
            </w:tcBorders>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7</w:t>
            </w:r>
          </w:p>
        </w:tc>
        <w:tc>
          <w:tcPr>
            <w:tcW w:w="5059" w:type="dxa"/>
            <w:tcBorders>
              <w:top w:val="single" w:color="000000" w:sz="4" w:space="0"/>
              <w:left w:val="nil"/>
              <w:bottom w:val="single" w:color="000000" w:sz="4" w:space="0"/>
              <w:right w:val="single" w:color="auto" w:sz="4" w:space="0"/>
            </w:tcBorders>
          </w:tcPr>
          <w:p>
            <w:pPr>
              <w:widowControl/>
              <w:spacing w:before="120" w:after="120"/>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岳阳凯达科技有限公司</w:t>
            </w:r>
          </w:p>
        </w:tc>
        <w:tc>
          <w:tcPr>
            <w:tcW w:w="696" w:type="dxa"/>
            <w:tcBorders>
              <w:top w:val="single" w:color="000000" w:sz="4" w:space="0"/>
              <w:left w:val="nil"/>
              <w:bottom w:val="single" w:color="000000" w:sz="4" w:space="0"/>
              <w:right w:val="single" w:color="auto" w:sz="4" w:space="0"/>
            </w:tcBorders>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2次</w:t>
            </w:r>
          </w:p>
        </w:tc>
        <w:tc>
          <w:tcPr>
            <w:tcW w:w="954" w:type="dxa"/>
            <w:tcBorders>
              <w:top w:val="single" w:color="000000" w:sz="4" w:space="0"/>
              <w:left w:val="nil"/>
              <w:bottom w:val="single" w:color="000000" w:sz="4" w:space="0"/>
              <w:right w:val="single" w:color="000000" w:sz="4" w:space="0"/>
            </w:tcBorders>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重点</w:t>
            </w:r>
          </w:p>
        </w:tc>
        <w:tc>
          <w:tcPr>
            <w:tcW w:w="1604" w:type="dxa"/>
            <w:vMerge w:val="continue"/>
            <w:tcBorders>
              <w:top w:val="nil"/>
              <w:left w:val="nil"/>
              <w:bottom w:val="single" w:color="000000" w:sz="4" w:space="0"/>
              <w:right w:val="single" w:color="000000" w:sz="4" w:space="0"/>
            </w:tcBorders>
            <w:vAlign w:val="center"/>
          </w:tcPr>
          <w:p>
            <w:pPr>
              <w:widowControl/>
              <w:jc w:val="left"/>
              <w:rPr>
                <w:rFonts w:ascii="仿宋" w:hAnsi="仿宋" w:eastAsia="仿宋"/>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597" w:hRule="atLeast"/>
          <w:jc w:val="center"/>
        </w:trPr>
        <w:tc>
          <w:tcPr>
            <w:tcW w:w="717" w:type="dxa"/>
            <w:tcBorders>
              <w:top w:val="single" w:color="000000" w:sz="4" w:space="0"/>
              <w:left w:val="single" w:color="000000" w:sz="4" w:space="0"/>
              <w:bottom w:val="single" w:color="000000" w:sz="4" w:space="0"/>
              <w:right w:val="single" w:color="000000" w:sz="4" w:space="0"/>
            </w:tcBorders>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8</w:t>
            </w:r>
          </w:p>
        </w:tc>
        <w:tc>
          <w:tcPr>
            <w:tcW w:w="5059" w:type="dxa"/>
            <w:tcBorders>
              <w:top w:val="single" w:color="000000" w:sz="4" w:space="0"/>
              <w:left w:val="nil"/>
              <w:bottom w:val="single" w:color="000000" w:sz="4" w:space="0"/>
              <w:right w:val="single" w:color="auto" w:sz="4" w:space="0"/>
            </w:tcBorders>
          </w:tcPr>
          <w:p>
            <w:pPr>
              <w:widowControl/>
              <w:spacing w:before="120" w:after="120"/>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岳阳长旺化工有限公司</w:t>
            </w:r>
          </w:p>
        </w:tc>
        <w:tc>
          <w:tcPr>
            <w:tcW w:w="696" w:type="dxa"/>
            <w:tcBorders>
              <w:top w:val="single" w:color="000000" w:sz="4" w:space="0"/>
              <w:left w:val="nil"/>
              <w:bottom w:val="single" w:color="000000" w:sz="4" w:space="0"/>
              <w:right w:val="single" w:color="auto" w:sz="4" w:space="0"/>
            </w:tcBorders>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2次</w:t>
            </w:r>
          </w:p>
        </w:tc>
        <w:tc>
          <w:tcPr>
            <w:tcW w:w="954" w:type="dxa"/>
            <w:tcBorders>
              <w:top w:val="single" w:color="000000" w:sz="4" w:space="0"/>
              <w:left w:val="nil"/>
              <w:bottom w:val="single" w:color="000000" w:sz="4" w:space="0"/>
              <w:right w:val="single" w:color="000000" w:sz="4" w:space="0"/>
            </w:tcBorders>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重点</w:t>
            </w:r>
          </w:p>
        </w:tc>
        <w:tc>
          <w:tcPr>
            <w:tcW w:w="1604" w:type="dxa"/>
            <w:vMerge w:val="continue"/>
            <w:tcBorders>
              <w:top w:val="nil"/>
              <w:left w:val="nil"/>
              <w:bottom w:val="single" w:color="000000" w:sz="4" w:space="0"/>
              <w:right w:val="single" w:color="000000" w:sz="4" w:space="0"/>
            </w:tcBorders>
            <w:vAlign w:val="center"/>
          </w:tcPr>
          <w:p>
            <w:pPr>
              <w:widowControl/>
              <w:jc w:val="left"/>
              <w:rPr>
                <w:rFonts w:ascii="仿宋" w:hAnsi="仿宋" w:eastAsia="仿宋"/>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597" w:hRule="atLeast"/>
          <w:jc w:val="center"/>
        </w:trPr>
        <w:tc>
          <w:tcPr>
            <w:tcW w:w="717" w:type="dxa"/>
            <w:tcBorders>
              <w:top w:val="single" w:color="000000" w:sz="4" w:space="0"/>
              <w:left w:val="single" w:color="000000" w:sz="4" w:space="0"/>
              <w:bottom w:val="single" w:color="000000" w:sz="4" w:space="0"/>
              <w:right w:val="single" w:color="000000" w:sz="4" w:space="0"/>
            </w:tcBorders>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9</w:t>
            </w:r>
          </w:p>
        </w:tc>
        <w:tc>
          <w:tcPr>
            <w:tcW w:w="5059" w:type="dxa"/>
            <w:tcBorders>
              <w:top w:val="single" w:color="000000" w:sz="4" w:space="0"/>
              <w:left w:val="nil"/>
              <w:bottom w:val="single" w:color="000000" w:sz="4" w:space="0"/>
              <w:right w:val="single" w:color="auto" w:sz="4" w:space="0"/>
            </w:tcBorders>
          </w:tcPr>
          <w:p>
            <w:pPr>
              <w:widowControl/>
              <w:spacing w:before="120" w:after="120"/>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岳阳安泰起重设备有限公司</w:t>
            </w:r>
          </w:p>
        </w:tc>
        <w:tc>
          <w:tcPr>
            <w:tcW w:w="696" w:type="dxa"/>
            <w:tcBorders>
              <w:top w:val="single" w:color="000000" w:sz="4" w:space="0"/>
              <w:left w:val="nil"/>
              <w:bottom w:val="single" w:color="000000" w:sz="4" w:space="0"/>
              <w:right w:val="single" w:color="auto" w:sz="4" w:space="0"/>
            </w:tcBorders>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2次</w:t>
            </w:r>
          </w:p>
        </w:tc>
        <w:tc>
          <w:tcPr>
            <w:tcW w:w="954" w:type="dxa"/>
            <w:tcBorders>
              <w:top w:val="single" w:color="000000" w:sz="4" w:space="0"/>
              <w:left w:val="nil"/>
              <w:bottom w:val="single" w:color="000000" w:sz="4" w:space="0"/>
              <w:right w:val="single" w:color="000000" w:sz="4" w:space="0"/>
            </w:tcBorders>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重点</w:t>
            </w:r>
          </w:p>
        </w:tc>
        <w:tc>
          <w:tcPr>
            <w:tcW w:w="1604" w:type="dxa"/>
            <w:vMerge w:val="continue"/>
            <w:tcBorders>
              <w:top w:val="nil"/>
              <w:left w:val="nil"/>
              <w:bottom w:val="single" w:color="000000" w:sz="4" w:space="0"/>
              <w:right w:val="single" w:color="000000" w:sz="4" w:space="0"/>
            </w:tcBorders>
            <w:vAlign w:val="center"/>
          </w:tcPr>
          <w:p>
            <w:pPr>
              <w:widowControl/>
              <w:jc w:val="left"/>
              <w:rPr>
                <w:rFonts w:ascii="仿宋" w:hAnsi="仿宋" w:eastAsia="仿宋"/>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97" w:hRule="atLeast"/>
          <w:jc w:val="center"/>
        </w:trPr>
        <w:tc>
          <w:tcPr>
            <w:tcW w:w="717" w:type="dxa"/>
            <w:tcBorders>
              <w:top w:val="single" w:color="000000" w:sz="4" w:space="0"/>
              <w:left w:val="single" w:color="000000" w:sz="4" w:space="0"/>
              <w:bottom w:val="single" w:color="000000" w:sz="4" w:space="0"/>
              <w:right w:val="single" w:color="000000" w:sz="4" w:space="0"/>
            </w:tcBorders>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10</w:t>
            </w:r>
          </w:p>
        </w:tc>
        <w:tc>
          <w:tcPr>
            <w:tcW w:w="5059" w:type="dxa"/>
            <w:tcBorders>
              <w:top w:val="single" w:color="000000" w:sz="4" w:space="0"/>
              <w:left w:val="nil"/>
              <w:bottom w:val="single" w:color="000000" w:sz="4" w:space="0"/>
              <w:right w:val="single" w:color="auto" w:sz="4" w:space="0"/>
            </w:tcBorders>
          </w:tcPr>
          <w:p>
            <w:pPr>
              <w:widowControl/>
              <w:spacing w:before="120" w:after="120"/>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岳阳市云溪区云联化工厂</w:t>
            </w:r>
          </w:p>
        </w:tc>
        <w:tc>
          <w:tcPr>
            <w:tcW w:w="696" w:type="dxa"/>
            <w:tcBorders>
              <w:top w:val="single" w:color="000000" w:sz="4" w:space="0"/>
              <w:left w:val="nil"/>
              <w:bottom w:val="single" w:color="000000" w:sz="4" w:space="0"/>
              <w:right w:val="single" w:color="auto" w:sz="4" w:space="0"/>
            </w:tcBorders>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2次</w:t>
            </w:r>
          </w:p>
        </w:tc>
        <w:tc>
          <w:tcPr>
            <w:tcW w:w="954" w:type="dxa"/>
            <w:tcBorders>
              <w:top w:val="single" w:color="000000" w:sz="4" w:space="0"/>
              <w:left w:val="nil"/>
              <w:bottom w:val="single" w:color="000000" w:sz="4" w:space="0"/>
              <w:right w:val="single" w:color="000000" w:sz="4" w:space="0"/>
            </w:tcBorders>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重点</w:t>
            </w:r>
          </w:p>
        </w:tc>
        <w:tc>
          <w:tcPr>
            <w:tcW w:w="1604" w:type="dxa"/>
            <w:vMerge w:val="continue"/>
            <w:tcBorders>
              <w:top w:val="nil"/>
              <w:left w:val="nil"/>
              <w:bottom w:val="single" w:color="000000" w:sz="4" w:space="0"/>
              <w:right w:val="single" w:color="000000" w:sz="4" w:space="0"/>
            </w:tcBorders>
            <w:vAlign w:val="center"/>
          </w:tcPr>
          <w:p>
            <w:pPr>
              <w:widowControl/>
              <w:jc w:val="left"/>
              <w:rPr>
                <w:rFonts w:ascii="仿宋" w:hAnsi="仿宋" w:eastAsia="仿宋"/>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597" w:hRule="atLeast"/>
          <w:jc w:val="center"/>
        </w:trPr>
        <w:tc>
          <w:tcPr>
            <w:tcW w:w="717" w:type="dxa"/>
            <w:tcBorders>
              <w:top w:val="single" w:color="000000" w:sz="4" w:space="0"/>
              <w:left w:val="single" w:color="000000" w:sz="4" w:space="0"/>
              <w:bottom w:val="single" w:color="000000" w:sz="4" w:space="0"/>
              <w:right w:val="single" w:color="000000" w:sz="4" w:space="0"/>
            </w:tcBorders>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11</w:t>
            </w:r>
          </w:p>
        </w:tc>
        <w:tc>
          <w:tcPr>
            <w:tcW w:w="5059" w:type="dxa"/>
            <w:tcBorders>
              <w:top w:val="single" w:color="000000" w:sz="4" w:space="0"/>
              <w:left w:val="nil"/>
              <w:bottom w:val="single" w:color="000000" w:sz="4" w:space="0"/>
              <w:right w:val="single" w:color="auto" w:sz="4" w:space="0"/>
            </w:tcBorders>
          </w:tcPr>
          <w:p>
            <w:pPr>
              <w:widowControl/>
              <w:spacing w:before="120" w:after="120"/>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岳阳钱昌晟化工有限公司</w:t>
            </w:r>
          </w:p>
        </w:tc>
        <w:tc>
          <w:tcPr>
            <w:tcW w:w="696" w:type="dxa"/>
            <w:tcBorders>
              <w:top w:val="single" w:color="000000" w:sz="4" w:space="0"/>
              <w:left w:val="nil"/>
              <w:bottom w:val="single" w:color="000000" w:sz="4" w:space="0"/>
              <w:right w:val="single" w:color="auto" w:sz="4" w:space="0"/>
            </w:tcBorders>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2次</w:t>
            </w:r>
          </w:p>
        </w:tc>
        <w:tc>
          <w:tcPr>
            <w:tcW w:w="954" w:type="dxa"/>
            <w:tcBorders>
              <w:top w:val="single" w:color="000000" w:sz="4" w:space="0"/>
              <w:left w:val="nil"/>
              <w:bottom w:val="single" w:color="000000" w:sz="4" w:space="0"/>
              <w:right w:val="single" w:color="000000" w:sz="4" w:space="0"/>
            </w:tcBorders>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重点</w:t>
            </w:r>
          </w:p>
        </w:tc>
        <w:tc>
          <w:tcPr>
            <w:tcW w:w="1604" w:type="dxa"/>
            <w:vMerge w:val="continue"/>
            <w:tcBorders>
              <w:top w:val="nil"/>
              <w:left w:val="nil"/>
              <w:bottom w:val="single" w:color="000000" w:sz="4" w:space="0"/>
              <w:right w:val="single" w:color="000000" w:sz="4" w:space="0"/>
            </w:tcBorders>
            <w:vAlign w:val="center"/>
          </w:tcPr>
          <w:p>
            <w:pPr>
              <w:widowControl/>
              <w:jc w:val="left"/>
              <w:rPr>
                <w:rFonts w:ascii="仿宋" w:hAnsi="仿宋" w:eastAsia="仿宋"/>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597" w:hRule="atLeast"/>
          <w:jc w:val="center"/>
        </w:trPr>
        <w:tc>
          <w:tcPr>
            <w:tcW w:w="717" w:type="dxa"/>
            <w:tcBorders>
              <w:top w:val="single" w:color="000000" w:sz="4" w:space="0"/>
              <w:left w:val="single" w:color="000000" w:sz="4" w:space="0"/>
              <w:bottom w:val="single" w:color="000000" w:sz="4" w:space="0"/>
              <w:right w:val="single" w:color="000000" w:sz="4" w:space="0"/>
            </w:tcBorders>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12</w:t>
            </w:r>
          </w:p>
        </w:tc>
        <w:tc>
          <w:tcPr>
            <w:tcW w:w="5059" w:type="dxa"/>
            <w:tcBorders>
              <w:top w:val="single" w:color="000000" w:sz="4" w:space="0"/>
              <w:left w:val="nil"/>
              <w:bottom w:val="single" w:color="000000" w:sz="4" w:space="0"/>
              <w:right w:val="single" w:color="auto" w:sz="4" w:space="0"/>
            </w:tcBorders>
          </w:tcPr>
          <w:p>
            <w:pPr>
              <w:widowControl/>
              <w:spacing w:before="120" w:after="120"/>
              <w:textAlignment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岳阳市云溪区振发化工厂</w:t>
            </w:r>
          </w:p>
        </w:tc>
        <w:tc>
          <w:tcPr>
            <w:tcW w:w="696" w:type="dxa"/>
            <w:tcBorders>
              <w:top w:val="single" w:color="000000" w:sz="4" w:space="0"/>
              <w:left w:val="nil"/>
              <w:bottom w:val="single" w:color="000000" w:sz="4" w:space="0"/>
              <w:right w:val="single" w:color="auto" w:sz="4" w:space="0"/>
            </w:tcBorders>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2次</w:t>
            </w:r>
          </w:p>
        </w:tc>
        <w:tc>
          <w:tcPr>
            <w:tcW w:w="954" w:type="dxa"/>
            <w:tcBorders>
              <w:top w:val="single" w:color="000000" w:sz="4" w:space="0"/>
              <w:left w:val="nil"/>
              <w:bottom w:val="single" w:color="000000" w:sz="4" w:space="0"/>
              <w:right w:val="single" w:color="000000" w:sz="4" w:space="0"/>
            </w:tcBorders>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重点</w:t>
            </w:r>
          </w:p>
        </w:tc>
        <w:tc>
          <w:tcPr>
            <w:tcW w:w="1604" w:type="dxa"/>
            <w:vMerge w:val="continue"/>
            <w:tcBorders>
              <w:top w:val="nil"/>
              <w:left w:val="nil"/>
              <w:bottom w:val="single" w:color="000000" w:sz="4" w:space="0"/>
              <w:right w:val="single" w:color="000000" w:sz="4" w:space="0"/>
            </w:tcBorders>
            <w:vAlign w:val="center"/>
          </w:tcPr>
          <w:p>
            <w:pPr>
              <w:widowControl/>
              <w:jc w:val="left"/>
              <w:rPr>
                <w:rFonts w:ascii="仿宋" w:hAnsi="仿宋" w:eastAsia="仿宋"/>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597" w:hRule="atLeast"/>
          <w:jc w:val="center"/>
        </w:trPr>
        <w:tc>
          <w:tcPr>
            <w:tcW w:w="717" w:type="dxa"/>
            <w:tcBorders>
              <w:top w:val="single" w:color="000000" w:sz="4" w:space="0"/>
              <w:left w:val="single" w:color="000000" w:sz="4" w:space="0"/>
              <w:bottom w:val="single" w:color="000000" w:sz="4" w:space="0"/>
              <w:right w:val="single" w:color="000000" w:sz="4" w:space="0"/>
            </w:tcBorders>
          </w:tcPr>
          <w:p>
            <w:pPr>
              <w:widowControl/>
              <w:jc w:val="center"/>
              <w:rPr>
                <w:rFonts w:ascii="仿宋_GB2312" w:hAnsi="宋体" w:eastAsia="仿宋_GB2312" w:cs="宋体"/>
                <w:color w:val="000000"/>
                <w:kern w:val="0"/>
                <w:sz w:val="22"/>
                <w:szCs w:val="22"/>
              </w:rPr>
            </w:pPr>
          </w:p>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13</w:t>
            </w:r>
          </w:p>
        </w:tc>
        <w:tc>
          <w:tcPr>
            <w:tcW w:w="5059" w:type="dxa"/>
            <w:tcBorders>
              <w:top w:val="single" w:color="000000" w:sz="4" w:space="0"/>
              <w:left w:val="nil"/>
              <w:bottom w:val="single" w:color="000000" w:sz="4" w:space="0"/>
              <w:right w:val="single" w:color="auto" w:sz="4" w:space="0"/>
            </w:tcBorders>
          </w:tcPr>
          <w:p>
            <w:pPr>
              <w:widowControl/>
              <w:spacing w:before="120" w:after="120"/>
              <w:textAlignment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岳阳市云溪区华维化工贸易有限公司</w:t>
            </w:r>
          </w:p>
        </w:tc>
        <w:tc>
          <w:tcPr>
            <w:tcW w:w="696" w:type="dxa"/>
            <w:tcBorders>
              <w:top w:val="single" w:color="000000" w:sz="4" w:space="0"/>
              <w:left w:val="nil"/>
              <w:bottom w:val="single" w:color="000000" w:sz="4" w:space="0"/>
              <w:right w:val="single" w:color="auto" w:sz="4" w:space="0"/>
            </w:tcBorders>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2次</w:t>
            </w:r>
          </w:p>
        </w:tc>
        <w:tc>
          <w:tcPr>
            <w:tcW w:w="954" w:type="dxa"/>
            <w:tcBorders>
              <w:top w:val="single" w:color="000000" w:sz="4" w:space="0"/>
              <w:left w:val="nil"/>
              <w:bottom w:val="single" w:color="000000" w:sz="4" w:space="0"/>
              <w:right w:val="single" w:color="000000" w:sz="4" w:space="0"/>
            </w:tcBorders>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重点</w:t>
            </w:r>
          </w:p>
        </w:tc>
        <w:tc>
          <w:tcPr>
            <w:tcW w:w="1604" w:type="dxa"/>
            <w:vMerge w:val="continue"/>
            <w:tcBorders>
              <w:top w:val="nil"/>
              <w:left w:val="nil"/>
              <w:bottom w:val="single" w:color="000000" w:sz="4" w:space="0"/>
              <w:right w:val="single" w:color="000000" w:sz="4" w:space="0"/>
            </w:tcBorders>
            <w:vAlign w:val="center"/>
          </w:tcPr>
          <w:p>
            <w:pPr>
              <w:widowControl/>
              <w:jc w:val="left"/>
              <w:rPr>
                <w:rFonts w:ascii="仿宋" w:hAnsi="仿宋" w:eastAsia="仿宋"/>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597" w:hRule="atLeast"/>
          <w:jc w:val="center"/>
        </w:trPr>
        <w:tc>
          <w:tcPr>
            <w:tcW w:w="717" w:type="dxa"/>
            <w:tcBorders>
              <w:top w:val="single" w:color="000000" w:sz="4" w:space="0"/>
              <w:left w:val="single" w:color="000000" w:sz="4" w:space="0"/>
              <w:bottom w:val="single" w:color="auto" w:sz="4" w:space="0"/>
              <w:right w:val="single" w:color="000000" w:sz="4" w:space="0"/>
            </w:tcBorders>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14</w:t>
            </w:r>
          </w:p>
        </w:tc>
        <w:tc>
          <w:tcPr>
            <w:tcW w:w="5059" w:type="dxa"/>
            <w:tcBorders>
              <w:top w:val="single" w:color="000000" w:sz="4" w:space="0"/>
              <w:left w:val="nil"/>
              <w:bottom w:val="single" w:color="auto" w:sz="4" w:space="0"/>
              <w:right w:val="single" w:color="auto" w:sz="4" w:space="0"/>
            </w:tcBorders>
          </w:tcPr>
          <w:p>
            <w:pPr>
              <w:widowControl/>
              <w:spacing w:before="120" w:after="120"/>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岳阳市云溪区云兴矿业有限公司</w:t>
            </w:r>
          </w:p>
        </w:tc>
        <w:tc>
          <w:tcPr>
            <w:tcW w:w="696" w:type="dxa"/>
            <w:tcBorders>
              <w:top w:val="single" w:color="000000" w:sz="4" w:space="0"/>
              <w:left w:val="nil"/>
              <w:bottom w:val="single" w:color="auto" w:sz="4" w:space="0"/>
              <w:right w:val="single" w:color="auto" w:sz="4" w:space="0"/>
            </w:tcBorders>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2次</w:t>
            </w:r>
          </w:p>
        </w:tc>
        <w:tc>
          <w:tcPr>
            <w:tcW w:w="954" w:type="dxa"/>
            <w:tcBorders>
              <w:top w:val="single" w:color="000000" w:sz="4" w:space="0"/>
              <w:left w:val="nil"/>
              <w:bottom w:val="single" w:color="auto" w:sz="4" w:space="0"/>
              <w:right w:val="single" w:color="000000" w:sz="4" w:space="0"/>
            </w:tcBorders>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重点</w:t>
            </w:r>
          </w:p>
        </w:tc>
        <w:tc>
          <w:tcPr>
            <w:tcW w:w="1604" w:type="dxa"/>
            <w:vMerge w:val="continue"/>
            <w:tcBorders>
              <w:top w:val="nil"/>
              <w:left w:val="nil"/>
              <w:bottom w:val="single" w:color="000000" w:sz="4" w:space="0"/>
              <w:right w:val="single" w:color="000000" w:sz="4" w:space="0"/>
            </w:tcBorders>
            <w:vAlign w:val="center"/>
          </w:tcPr>
          <w:p>
            <w:pPr>
              <w:widowControl/>
              <w:jc w:val="left"/>
              <w:rPr>
                <w:rFonts w:ascii="仿宋" w:hAnsi="仿宋" w:eastAsia="仿宋"/>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597" w:hRule="atLeast"/>
          <w:jc w:val="center"/>
        </w:trPr>
        <w:tc>
          <w:tcPr>
            <w:tcW w:w="717" w:type="dxa"/>
            <w:tcBorders>
              <w:top w:val="single" w:color="auto" w:sz="4" w:space="0"/>
              <w:left w:val="single" w:color="000000" w:sz="4" w:space="0"/>
              <w:bottom w:val="single" w:color="000000" w:sz="4" w:space="0"/>
              <w:right w:val="single" w:color="000000" w:sz="4" w:space="0"/>
            </w:tcBorders>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15</w:t>
            </w:r>
          </w:p>
        </w:tc>
        <w:tc>
          <w:tcPr>
            <w:tcW w:w="5059" w:type="dxa"/>
            <w:tcBorders>
              <w:top w:val="single" w:color="auto" w:sz="4" w:space="0"/>
              <w:left w:val="nil"/>
              <w:bottom w:val="single" w:color="000000" w:sz="4" w:space="0"/>
              <w:right w:val="single" w:color="auto" w:sz="4" w:space="0"/>
            </w:tcBorders>
          </w:tcPr>
          <w:p>
            <w:pPr>
              <w:widowControl/>
              <w:spacing w:before="120" w:after="120"/>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岳阳市湘粤金鑫化工厂</w:t>
            </w:r>
          </w:p>
        </w:tc>
        <w:tc>
          <w:tcPr>
            <w:tcW w:w="696" w:type="dxa"/>
            <w:tcBorders>
              <w:top w:val="single" w:color="auto" w:sz="4" w:space="0"/>
              <w:left w:val="nil"/>
              <w:bottom w:val="single" w:color="000000" w:sz="4" w:space="0"/>
              <w:right w:val="single" w:color="auto" w:sz="4" w:space="0"/>
            </w:tcBorders>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2次</w:t>
            </w:r>
          </w:p>
        </w:tc>
        <w:tc>
          <w:tcPr>
            <w:tcW w:w="954" w:type="dxa"/>
            <w:tcBorders>
              <w:top w:val="single" w:color="auto" w:sz="4" w:space="0"/>
              <w:left w:val="nil"/>
              <w:bottom w:val="single" w:color="000000" w:sz="4" w:space="0"/>
              <w:right w:val="single" w:color="000000" w:sz="4" w:space="0"/>
            </w:tcBorders>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重点</w:t>
            </w:r>
          </w:p>
        </w:tc>
        <w:tc>
          <w:tcPr>
            <w:tcW w:w="1604" w:type="dxa"/>
            <w:vMerge w:val="continue"/>
            <w:tcBorders>
              <w:top w:val="nil"/>
              <w:left w:val="nil"/>
              <w:bottom w:val="single" w:color="000000" w:sz="4" w:space="0"/>
              <w:right w:val="single" w:color="000000" w:sz="4" w:space="0"/>
            </w:tcBorders>
            <w:vAlign w:val="center"/>
          </w:tcPr>
          <w:p>
            <w:pPr>
              <w:widowControl/>
              <w:jc w:val="left"/>
              <w:rPr>
                <w:rFonts w:ascii="仿宋" w:hAnsi="仿宋" w:eastAsia="仿宋"/>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597" w:hRule="atLeast"/>
          <w:jc w:val="center"/>
        </w:trPr>
        <w:tc>
          <w:tcPr>
            <w:tcW w:w="717" w:type="dxa"/>
            <w:tcBorders>
              <w:top w:val="single" w:color="000000" w:sz="4" w:space="0"/>
              <w:left w:val="single" w:color="000000" w:sz="4" w:space="0"/>
              <w:bottom w:val="single" w:color="auto" w:sz="4" w:space="0"/>
              <w:right w:val="single" w:color="000000" w:sz="4" w:space="0"/>
            </w:tcBorders>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16</w:t>
            </w:r>
          </w:p>
        </w:tc>
        <w:tc>
          <w:tcPr>
            <w:tcW w:w="5059" w:type="dxa"/>
            <w:tcBorders>
              <w:top w:val="single" w:color="000000" w:sz="4" w:space="0"/>
              <w:left w:val="nil"/>
              <w:bottom w:val="single" w:color="auto" w:sz="4" w:space="0"/>
              <w:right w:val="single" w:color="auto" w:sz="4" w:space="0"/>
            </w:tcBorders>
          </w:tcPr>
          <w:p>
            <w:pPr>
              <w:widowControl/>
              <w:spacing w:before="120" w:after="120"/>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岳阳市青山油剂有限公司</w:t>
            </w:r>
          </w:p>
        </w:tc>
        <w:tc>
          <w:tcPr>
            <w:tcW w:w="696" w:type="dxa"/>
            <w:tcBorders>
              <w:top w:val="single" w:color="000000" w:sz="4" w:space="0"/>
              <w:left w:val="nil"/>
              <w:bottom w:val="single" w:color="auto" w:sz="4" w:space="0"/>
              <w:right w:val="single" w:color="auto" w:sz="4" w:space="0"/>
            </w:tcBorders>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2次</w:t>
            </w:r>
          </w:p>
        </w:tc>
        <w:tc>
          <w:tcPr>
            <w:tcW w:w="954" w:type="dxa"/>
            <w:tcBorders>
              <w:top w:val="single" w:color="000000" w:sz="4" w:space="0"/>
              <w:left w:val="nil"/>
              <w:bottom w:val="single" w:color="auto" w:sz="4" w:space="0"/>
              <w:right w:val="single" w:color="000000" w:sz="4" w:space="0"/>
            </w:tcBorders>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重点</w:t>
            </w:r>
          </w:p>
        </w:tc>
        <w:tc>
          <w:tcPr>
            <w:tcW w:w="1604" w:type="dxa"/>
            <w:vMerge w:val="continue"/>
            <w:tcBorders>
              <w:top w:val="nil"/>
              <w:left w:val="nil"/>
              <w:bottom w:val="single" w:color="000000" w:sz="4" w:space="0"/>
              <w:right w:val="single" w:color="000000" w:sz="4" w:space="0"/>
            </w:tcBorders>
            <w:vAlign w:val="center"/>
          </w:tcPr>
          <w:p>
            <w:pPr>
              <w:widowControl/>
              <w:jc w:val="left"/>
              <w:rPr>
                <w:rFonts w:ascii="仿宋" w:hAnsi="仿宋" w:eastAsia="仿宋"/>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597" w:hRule="atLeast"/>
          <w:jc w:val="center"/>
        </w:trPr>
        <w:tc>
          <w:tcPr>
            <w:tcW w:w="717" w:type="dxa"/>
            <w:tcBorders>
              <w:top w:val="single" w:color="000000" w:sz="4" w:space="0"/>
              <w:left w:val="single" w:color="000000" w:sz="4" w:space="0"/>
              <w:bottom w:val="single" w:color="auto" w:sz="4" w:space="0"/>
              <w:right w:val="single" w:color="000000" w:sz="4" w:space="0"/>
            </w:tcBorders>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17</w:t>
            </w:r>
          </w:p>
        </w:tc>
        <w:tc>
          <w:tcPr>
            <w:tcW w:w="5059" w:type="dxa"/>
            <w:tcBorders>
              <w:top w:val="single" w:color="000000" w:sz="4" w:space="0"/>
              <w:left w:val="nil"/>
              <w:bottom w:val="single" w:color="auto" w:sz="4" w:space="0"/>
              <w:right w:val="single" w:color="auto" w:sz="4" w:space="0"/>
            </w:tcBorders>
          </w:tcPr>
          <w:p>
            <w:pPr>
              <w:widowControl/>
              <w:spacing w:before="120" w:after="120"/>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岳阳瑞森达橡塑工业有限公司</w:t>
            </w:r>
          </w:p>
        </w:tc>
        <w:tc>
          <w:tcPr>
            <w:tcW w:w="696" w:type="dxa"/>
            <w:tcBorders>
              <w:top w:val="single" w:color="000000" w:sz="4" w:space="0"/>
              <w:left w:val="nil"/>
              <w:bottom w:val="single" w:color="auto" w:sz="4" w:space="0"/>
              <w:right w:val="single" w:color="auto" w:sz="4" w:space="0"/>
            </w:tcBorders>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2次</w:t>
            </w:r>
          </w:p>
        </w:tc>
        <w:tc>
          <w:tcPr>
            <w:tcW w:w="954" w:type="dxa"/>
            <w:tcBorders>
              <w:top w:val="single" w:color="000000" w:sz="4" w:space="0"/>
              <w:left w:val="nil"/>
              <w:bottom w:val="single" w:color="auto" w:sz="4" w:space="0"/>
              <w:right w:val="single" w:color="000000" w:sz="4" w:space="0"/>
            </w:tcBorders>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重点</w:t>
            </w:r>
          </w:p>
        </w:tc>
        <w:tc>
          <w:tcPr>
            <w:tcW w:w="1604" w:type="dxa"/>
            <w:vMerge w:val="continue"/>
            <w:tcBorders>
              <w:top w:val="nil"/>
              <w:left w:val="nil"/>
              <w:bottom w:val="single" w:color="000000" w:sz="4" w:space="0"/>
              <w:right w:val="single" w:color="000000" w:sz="4" w:space="0"/>
            </w:tcBorders>
            <w:vAlign w:val="center"/>
          </w:tcPr>
          <w:p>
            <w:pPr>
              <w:widowControl/>
              <w:jc w:val="left"/>
              <w:rPr>
                <w:rFonts w:ascii="仿宋" w:hAnsi="仿宋" w:eastAsia="仿宋"/>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90" w:hRule="atLeast"/>
          <w:jc w:val="center"/>
        </w:trPr>
        <w:tc>
          <w:tcPr>
            <w:tcW w:w="717" w:type="dxa"/>
            <w:tcBorders>
              <w:top w:val="single" w:color="000000" w:sz="4" w:space="0"/>
              <w:left w:val="single" w:color="000000" w:sz="4" w:space="0"/>
              <w:bottom w:val="single" w:color="auto" w:sz="4" w:space="0"/>
              <w:right w:val="single" w:color="000000" w:sz="4" w:space="0"/>
            </w:tcBorders>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18</w:t>
            </w:r>
          </w:p>
        </w:tc>
        <w:tc>
          <w:tcPr>
            <w:tcW w:w="5059" w:type="dxa"/>
            <w:tcBorders>
              <w:top w:val="single" w:color="000000" w:sz="4" w:space="0"/>
              <w:left w:val="nil"/>
              <w:bottom w:val="single" w:color="auto" w:sz="4" w:space="0"/>
              <w:right w:val="single" w:color="auto" w:sz="4" w:space="0"/>
            </w:tcBorders>
          </w:tcPr>
          <w:p>
            <w:pPr>
              <w:widowControl/>
              <w:spacing w:before="120" w:after="120"/>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岳阳市恒忠机械工程技术有限公司</w:t>
            </w:r>
          </w:p>
        </w:tc>
        <w:tc>
          <w:tcPr>
            <w:tcW w:w="696" w:type="dxa"/>
            <w:tcBorders>
              <w:top w:val="single" w:color="000000" w:sz="4" w:space="0"/>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2次</w:t>
            </w:r>
          </w:p>
        </w:tc>
        <w:tc>
          <w:tcPr>
            <w:tcW w:w="954" w:type="dxa"/>
            <w:tcBorders>
              <w:top w:val="single" w:color="000000" w:sz="4" w:space="0"/>
              <w:left w:val="nil"/>
              <w:bottom w:val="single" w:color="auto" w:sz="4" w:space="0"/>
              <w:right w:val="single" w:color="000000" w:sz="4" w:space="0"/>
            </w:tcBorders>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重点</w:t>
            </w:r>
          </w:p>
        </w:tc>
        <w:tc>
          <w:tcPr>
            <w:tcW w:w="1604" w:type="dxa"/>
            <w:vMerge w:val="continue"/>
            <w:tcBorders>
              <w:top w:val="nil"/>
              <w:left w:val="nil"/>
              <w:bottom w:val="single" w:color="000000" w:sz="4" w:space="0"/>
              <w:right w:val="single" w:color="000000" w:sz="4" w:space="0"/>
            </w:tcBorders>
            <w:vAlign w:val="center"/>
          </w:tcPr>
          <w:p>
            <w:pPr>
              <w:widowControl/>
              <w:jc w:val="left"/>
              <w:rPr>
                <w:rFonts w:ascii="仿宋" w:hAnsi="仿宋" w:eastAsia="仿宋"/>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704" w:hRule="atLeast"/>
          <w:jc w:val="center"/>
        </w:trPr>
        <w:tc>
          <w:tcPr>
            <w:tcW w:w="717" w:type="dxa"/>
            <w:tcBorders>
              <w:top w:val="single" w:color="000000" w:sz="4" w:space="0"/>
              <w:left w:val="single" w:color="000000" w:sz="4" w:space="0"/>
              <w:bottom w:val="single" w:color="auto" w:sz="4" w:space="0"/>
              <w:right w:val="single" w:color="000000" w:sz="4" w:space="0"/>
            </w:tcBorders>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19</w:t>
            </w:r>
          </w:p>
        </w:tc>
        <w:tc>
          <w:tcPr>
            <w:tcW w:w="5059" w:type="dxa"/>
            <w:tcBorders>
              <w:top w:val="single" w:color="000000" w:sz="4" w:space="0"/>
              <w:left w:val="nil"/>
              <w:bottom w:val="single" w:color="auto" w:sz="4" w:space="0"/>
              <w:right w:val="single" w:color="auto" w:sz="4" w:space="0"/>
            </w:tcBorders>
          </w:tcPr>
          <w:p>
            <w:pPr>
              <w:widowControl/>
              <w:spacing w:before="120" w:after="120"/>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岳阳岳化机械有限责任公司</w:t>
            </w:r>
          </w:p>
        </w:tc>
        <w:tc>
          <w:tcPr>
            <w:tcW w:w="696" w:type="dxa"/>
            <w:tcBorders>
              <w:top w:val="single" w:color="000000" w:sz="4" w:space="0"/>
              <w:left w:val="nil"/>
              <w:bottom w:val="single" w:color="auto" w:sz="4" w:space="0"/>
              <w:right w:val="single" w:color="auto" w:sz="4" w:space="0"/>
            </w:tcBorders>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2次</w:t>
            </w:r>
          </w:p>
        </w:tc>
        <w:tc>
          <w:tcPr>
            <w:tcW w:w="954" w:type="dxa"/>
            <w:tcBorders>
              <w:top w:val="single" w:color="000000" w:sz="4" w:space="0"/>
              <w:left w:val="nil"/>
              <w:bottom w:val="single" w:color="auto" w:sz="4" w:space="0"/>
              <w:right w:val="single" w:color="000000" w:sz="4" w:space="0"/>
            </w:tcBorders>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重点</w:t>
            </w:r>
          </w:p>
        </w:tc>
        <w:tc>
          <w:tcPr>
            <w:tcW w:w="1604" w:type="dxa"/>
            <w:vMerge w:val="continue"/>
            <w:tcBorders>
              <w:top w:val="nil"/>
              <w:left w:val="nil"/>
              <w:bottom w:val="single" w:color="000000" w:sz="4" w:space="0"/>
              <w:right w:val="single" w:color="000000" w:sz="4" w:space="0"/>
            </w:tcBorders>
            <w:vAlign w:val="center"/>
          </w:tcPr>
          <w:p>
            <w:pPr>
              <w:widowControl/>
              <w:jc w:val="left"/>
              <w:rPr>
                <w:rFonts w:ascii="仿宋" w:hAnsi="仿宋" w:eastAsia="仿宋"/>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718" w:hRule="atLeast"/>
          <w:jc w:val="center"/>
        </w:trPr>
        <w:tc>
          <w:tcPr>
            <w:tcW w:w="71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20</w:t>
            </w:r>
          </w:p>
        </w:tc>
        <w:tc>
          <w:tcPr>
            <w:tcW w:w="5059" w:type="dxa"/>
            <w:tcBorders>
              <w:top w:val="single" w:color="000000" w:sz="4" w:space="0"/>
              <w:left w:val="nil"/>
              <w:bottom w:val="single" w:color="000000" w:sz="4" w:space="0"/>
              <w:right w:val="single" w:color="auto" w:sz="4" w:space="0"/>
            </w:tcBorders>
            <w:vAlign w:val="center"/>
          </w:tcPr>
          <w:p>
            <w:pPr>
              <w:widowControl/>
              <w:spacing w:before="120" w:after="120"/>
              <w:textAlignment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云溪区志安烟花鞭炮批发公司</w:t>
            </w:r>
          </w:p>
        </w:tc>
        <w:tc>
          <w:tcPr>
            <w:tcW w:w="696" w:type="dxa"/>
            <w:tcBorders>
              <w:top w:val="single" w:color="000000" w:sz="4" w:space="0"/>
              <w:left w:val="nil"/>
              <w:bottom w:val="single" w:color="000000" w:sz="4" w:space="0"/>
              <w:right w:val="single" w:color="auto" w:sz="4" w:space="0"/>
            </w:tcBorders>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2次</w:t>
            </w:r>
          </w:p>
        </w:tc>
        <w:tc>
          <w:tcPr>
            <w:tcW w:w="954" w:type="dxa"/>
            <w:tcBorders>
              <w:top w:val="single" w:color="000000" w:sz="4" w:space="0"/>
              <w:left w:val="nil"/>
              <w:bottom w:val="single" w:color="000000" w:sz="4" w:space="0"/>
              <w:right w:val="single" w:color="000000" w:sz="4" w:space="0"/>
            </w:tcBorders>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重点</w:t>
            </w:r>
          </w:p>
        </w:tc>
        <w:tc>
          <w:tcPr>
            <w:tcW w:w="1604" w:type="dxa"/>
            <w:vMerge w:val="continue"/>
            <w:tcBorders>
              <w:top w:val="nil"/>
              <w:left w:val="nil"/>
              <w:bottom w:val="single" w:color="000000" w:sz="4" w:space="0"/>
              <w:right w:val="single" w:color="000000" w:sz="4" w:space="0"/>
            </w:tcBorders>
            <w:vAlign w:val="center"/>
          </w:tcPr>
          <w:p>
            <w:pPr>
              <w:widowControl/>
              <w:jc w:val="left"/>
              <w:rPr>
                <w:rFonts w:ascii="仿宋" w:hAnsi="仿宋" w:eastAsia="仿宋"/>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597" w:hRule="atLeast"/>
          <w:jc w:val="center"/>
        </w:trPr>
        <w:tc>
          <w:tcPr>
            <w:tcW w:w="717" w:type="dxa"/>
            <w:tcBorders>
              <w:top w:val="single" w:color="000000" w:sz="4" w:space="0"/>
              <w:left w:val="single" w:color="000000" w:sz="4" w:space="0"/>
              <w:bottom w:val="single" w:color="auto" w:sz="4" w:space="0"/>
              <w:right w:val="single" w:color="000000" w:sz="4" w:space="0"/>
            </w:tcBorders>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21</w:t>
            </w:r>
          </w:p>
        </w:tc>
        <w:tc>
          <w:tcPr>
            <w:tcW w:w="5059" w:type="dxa"/>
            <w:tcBorders>
              <w:top w:val="single" w:color="000000" w:sz="4" w:space="0"/>
              <w:left w:val="nil"/>
              <w:bottom w:val="single" w:color="auto" w:sz="4" w:space="0"/>
              <w:right w:val="single" w:color="auto" w:sz="4" w:space="0"/>
            </w:tcBorders>
            <w:vAlign w:val="center"/>
          </w:tcPr>
          <w:p>
            <w:pPr>
              <w:widowControl/>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云溪区众鑫烟花鞭炮批发公司</w:t>
            </w:r>
          </w:p>
        </w:tc>
        <w:tc>
          <w:tcPr>
            <w:tcW w:w="696" w:type="dxa"/>
            <w:tcBorders>
              <w:top w:val="single" w:color="000000" w:sz="4" w:space="0"/>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2次</w:t>
            </w:r>
          </w:p>
        </w:tc>
        <w:tc>
          <w:tcPr>
            <w:tcW w:w="954" w:type="dxa"/>
            <w:tcBorders>
              <w:top w:val="single" w:color="000000" w:sz="4" w:space="0"/>
              <w:left w:val="nil"/>
              <w:bottom w:val="single" w:color="auto" w:sz="4" w:space="0"/>
              <w:right w:val="single" w:color="000000" w:sz="4" w:space="0"/>
            </w:tcBorders>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重点</w:t>
            </w:r>
          </w:p>
        </w:tc>
        <w:tc>
          <w:tcPr>
            <w:tcW w:w="1604" w:type="dxa"/>
            <w:vMerge w:val="continue"/>
            <w:tcBorders>
              <w:top w:val="nil"/>
              <w:left w:val="nil"/>
              <w:bottom w:val="single" w:color="000000" w:sz="4" w:space="0"/>
              <w:right w:val="single" w:color="000000" w:sz="4" w:space="0"/>
            </w:tcBorders>
            <w:vAlign w:val="center"/>
          </w:tcPr>
          <w:p>
            <w:pPr>
              <w:widowControl/>
              <w:jc w:val="left"/>
              <w:rPr>
                <w:rFonts w:ascii="仿宋" w:hAnsi="仿宋" w:eastAsia="仿宋"/>
                <w:sz w:val="32"/>
                <w:szCs w:val="32"/>
              </w:rPr>
            </w:pPr>
          </w:p>
        </w:tc>
      </w:tr>
    </w:tbl>
    <w:p>
      <w:pPr>
        <w:autoSpaceDE w:val="0"/>
        <w:spacing w:line="560" w:lineRule="exact"/>
        <w:ind w:firstLine="640" w:firstLineChars="200"/>
        <w:rPr>
          <w:rFonts w:ascii="黑体" w:hAnsi="黑体" w:eastAsia="黑体"/>
          <w:sz w:val="32"/>
          <w:szCs w:val="32"/>
        </w:rPr>
      </w:pPr>
      <w:r>
        <w:rPr>
          <w:rFonts w:hint="eastAsia" w:ascii="黑体" w:hAnsi="黑体" w:eastAsia="黑体"/>
          <w:sz w:val="32"/>
          <w:szCs w:val="32"/>
        </w:rPr>
        <w:t>六、一般企业“双随机”抽查情况</w:t>
      </w:r>
    </w:p>
    <w:p>
      <w:pPr>
        <w:adjustRightInd w:val="0"/>
        <w:snapToGrid w:val="0"/>
        <w:spacing w:line="560" w:lineRule="exact"/>
        <w:ind w:firstLine="640" w:firstLineChars="200"/>
        <w:rPr>
          <w:rFonts w:ascii="仿宋_GB2312" w:hAnsi="Calibri" w:eastAsia="仿宋_GB2312"/>
          <w:sz w:val="32"/>
          <w:szCs w:val="32"/>
        </w:rPr>
      </w:pPr>
      <w:r>
        <w:rPr>
          <w:rFonts w:hint="eastAsia" w:ascii="仿宋_GB2312" w:hAnsi="Calibri" w:eastAsia="仿宋_GB2312"/>
          <w:sz w:val="32"/>
          <w:szCs w:val="32"/>
        </w:rPr>
        <w:t>（一）市局将岳阳东方雨虹防水材料有限公司、岳阳永兴建筑安装检修有限公司纳入市级“双随机”抽查名单；</w:t>
      </w:r>
    </w:p>
    <w:p>
      <w:pPr>
        <w:adjustRightInd w:val="0"/>
        <w:snapToGrid w:val="0"/>
        <w:spacing w:line="560" w:lineRule="exact"/>
        <w:ind w:firstLine="640" w:firstLineChars="200"/>
        <w:rPr>
          <w:rFonts w:ascii="仿宋_GB2312" w:hAnsi="Calibri" w:eastAsia="仿宋_GB2312"/>
          <w:sz w:val="32"/>
          <w:szCs w:val="32"/>
        </w:rPr>
      </w:pPr>
      <w:r>
        <w:rPr>
          <w:rFonts w:hint="eastAsia" w:ascii="仿宋_GB2312" w:hAnsi="Calibri" w:eastAsia="仿宋_GB2312"/>
          <w:sz w:val="32"/>
          <w:szCs w:val="32"/>
        </w:rPr>
        <w:t>（二）按照市局要求一般企业库实施“双随机”抽查名单年度不少于20%，被抽查的企业年度检查不少于一次；</w:t>
      </w:r>
    </w:p>
    <w:p>
      <w:pPr>
        <w:adjustRightInd w:val="0"/>
        <w:snapToGrid w:val="0"/>
        <w:spacing w:line="560" w:lineRule="exact"/>
        <w:ind w:firstLine="640" w:firstLineChars="200"/>
        <w:rPr>
          <w:rFonts w:ascii="仿宋_GB2312" w:hAnsi="Calibri" w:eastAsia="仿宋_GB2312"/>
          <w:sz w:val="32"/>
          <w:szCs w:val="32"/>
        </w:rPr>
      </w:pPr>
      <w:r>
        <w:rPr>
          <w:rFonts w:hint="eastAsia" w:ascii="仿宋_GB2312" w:hAnsi="Calibri" w:eastAsia="仿宋_GB2312"/>
          <w:sz w:val="32"/>
          <w:szCs w:val="32"/>
        </w:rPr>
        <w:t>（三）委托镇（街道）经济统计与应急事务中心和绿色化工高新区开发区管委会安环部监管的企业：</w:t>
      </w:r>
    </w:p>
    <w:p>
      <w:pPr>
        <w:adjustRightInd w:val="0"/>
        <w:snapToGrid w:val="0"/>
        <w:spacing w:line="560" w:lineRule="exact"/>
        <w:ind w:firstLine="640" w:firstLineChars="200"/>
        <w:rPr>
          <w:rFonts w:ascii="仿宋_GB2312" w:hAnsi="Calibri" w:eastAsia="仿宋_GB2312"/>
          <w:sz w:val="32"/>
          <w:szCs w:val="32"/>
        </w:rPr>
      </w:pPr>
      <w:r>
        <w:rPr>
          <w:rFonts w:hint="eastAsia" w:ascii="仿宋_GB2312" w:hAnsi="Calibri" w:eastAsia="仿宋_GB2312"/>
          <w:sz w:val="32"/>
          <w:szCs w:val="32"/>
        </w:rPr>
        <w:t>1.绿色化工高新区开发区管委会安环部执法企业名单：岳阳虎城机械制造有限公司、岳阳市康源邦尔生物技术有限责任公司、岳阳凯力母粒有限公司、岳阳市云盛全装科技有限公司、岳阳东昇利龙包装泡沫有限公司、岳阳众兴化工有限公司、岳阳市云溪区永泰合成聚丙烯厂。</w:t>
      </w:r>
    </w:p>
    <w:p>
      <w:pPr>
        <w:adjustRightInd w:val="0"/>
        <w:snapToGrid w:val="0"/>
        <w:spacing w:line="560" w:lineRule="exact"/>
        <w:ind w:firstLine="640" w:firstLineChars="200"/>
        <w:rPr>
          <w:rFonts w:ascii="仿宋_GB2312" w:hAnsi="Calibri" w:eastAsia="仿宋_GB2312"/>
          <w:sz w:val="32"/>
          <w:szCs w:val="32"/>
        </w:rPr>
      </w:pPr>
      <w:r>
        <w:rPr>
          <w:rFonts w:hint="eastAsia" w:ascii="仿宋_GB2312" w:hAnsi="Calibri" w:eastAsia="仿宋_GB2312"/>
          <w:sz w:val="32"/>
          <w:szCs w:val="32"/>
        </w:rPr>
        <w:t>2.委托陆城镇经济统计与应急事务中心行政执法名单：岳阳片片香食品有限公司、岳阳宏发石墨设备厂、岳阳吟香阁食品有限公司、岳阳顺兴伟业工贸有限公司、明威环保建材有限公司、一味槟榔食品有限公司、谢丽环保砖厂、岳阳深恒环保科技有限公司、湖南淳湘农牧科技有限公司、湖南弘创运动有限责任公司、湖南济海物流有限公司。</w:t>
      </w:r>
    </w:p>
    <w:p>
      <w:pPr>
        <w:adjustRightInd w:val="0"/>
        <w:snapToGrid w:val="0"/>
        <w:spacing w:line="560" w:lineRule="exact"/>
        <w:ind w:firstLine="640" w:firstLineChars="200"/>
        <w:rPr>
          <w:rFonts w:ascii="仿宋_GB2312" w:hAnsi="Calibri" w:eastAsia="仿宋_GB2312"/>
          <w:sz w:val="32"/>
          <w:szCs w:val="32"/>
        </w:rPr>
      </w:pPr>
      <w:r>
        <w:rPr>
          <w:rFonts w:hint="eastAsia" w:ascii="仿宋_GB2312" w:hAnsi="Calibri" w:eastAsia="仿宋_GB2312"/>
          <w:sz w:val="32"/>
          <w:szCs w:val="32"/>
        </w:rPr>
        <w:t>3.委托路口镇经济统计与应急事务中心行政执法名单：岳阳宇环环保砖厂、云溪区茗鑫茶叶专业合作社、岳阳市闯江湖鱼饲加工厂、岳阳市伊美香食品有限公司、云溪区王龙环保砖厂、岳阳市云溪区亿展环保砖厂、云溪区福源石材加工厂、岳阳市云溪区珍味米粉加工有限公司、岳阳旺达环保节能有限公司、岳阳瑞华工贸有限公司、云溪区雄伟矿石粉厂、云溪区湘临茶厂、岳阳渔我愿食品有限公司、岳阳市升隆新型墙体材料科技有限公司、岳阳联营化工厂、湖南艾馨园中药材股份有限公司。</w:t>
      </w:r>
    </w:p>
    <w:p>
      <w:pPr>
        <w:adjustRightInd w:val="0"/>
        <w:snapToGrid w:val="0"/>
        <w:spacing w:line="560" w:lineRule="exact"/>
        <w:ind w:firstLine="640" w:firstLineChars="200"/>
        <w:rPr>
          <w:rFonts w:ascii="仿宋_GB2312" w:hAnsi="Calibri" w:eastAsia="仿宋_GB2312"/>
          <w:sz w:val="32"/>
          <w:szCs w:val="32"/>
        </w:rPr>
      </w:pPr>
      <w:r>
        <w:rPr>
          <w:rFonts w:hint="eastAsia" w:ascii="仿宋_GB2312" w:hAnsi="Calibri" w:eastAsia="仿宋_GB2312"/>
          <w:sz w:val="32"/>
          <w:szCs w:val="32"/>
        </w:rPr>
        <w:t>4.委托长岭街道经济统计与应急事务中心行政执法名单：云溪茂林木材加工厂、云溪区新海免烧砖厂、岳阳镭洋电子有限公司、岳阳市春江食品厂、岳阳建安石化配件有限公司、文桥环保砖厂、紫金服装有限公司、小华木材厂、鸿运服装厂、云溪区欣昌木业、岳阳湘诚碳酸素制品有限公司、岳阳长岭思迪瑞化工有限公司、岳阳长炼机电工程技术有限公司、岳阳长炼兴业印刷有限公司、岳阳长炼兴长安装防腐工程有限公司、岳阳长炼兴欣服装有限公司、岳阳长岭设备研究所。</w:t>
      </w:r>
    </w:p>
    <w:p>
      <w:pPr>
        <w:adjustRightInd w:val="0"/>
        <w:snapToGrid w:val="0"/>
        <w:spacing w:line="560" w:lineRule="exact"/>
        <w:ind w:firstLine="640" w:firstLineChars="200"/>
        <w:rPr>
          <w:rFonts w:ascii="仿宋_GB2312" w:hAnsi="Calibri" w:eastAsia="仿宋_GB2312"/>
          <w:sz w:val="32"/>
          <w:szCs w:val="32"/>
        </w:rPr>
      </w:pPr>
      <w:r>
        <w:rPr>
          <w:rFonts w:hint="eastAsia" w:ascii="仿宋_GB2312" w:hAnsi="Calibri" w:eastAsia="仿宋_GB2312"/>
          <w:sz w:val="32"/>
          <w:szCs w:val="32"/>
        </w:rPr>
        <w:t>5.委托云溪街道经济统计与应急事务中心行政执法名单：湖南瑞辰鼎盛有限公司、岳阳市云溪区同心同力环保砖厂、云溪区志刚环保砖厂、岳阳市湘山红食品有限公司、云溪区雄志环保砖厂、湖南优良铺子食品有限公司、岳阳市智博环保建材有限公司、岳阳市云溪区正中绞扣钢丝厂、岳阳市正鑫工贸有限公司、云溪区凌云环保砖厂、云溪区桃李页岩空心砖厂、云溪区红峰模压彩瓦厂、岳阳传承石材有限公司、云溪区宏大环保砖厂、云溪区朱冲煤灰砖厂、岳阳市云一筷业有限公司、云溪区其兵竹木经营加工厂、云溪区成良木材经营加工部、岳阳市润泽矿泉水厂、岳阳市雨荷莲业、岳阳泰艺检维修有限责任公司、岳阳华阳工程有限公司、岳阳橡达安装检维修有限公司、湖南博瑞康新材料有限公司、岳阳岳化冠翔检修检测安装有限公司、岳阳岳化创源检修安装公司、岳阳云电检维修公司、岳阳隆兴实业公司、岳阳益嘉包装有限责任公司、岳阳锦泓科技开发有限公司、岳阳华达锦纶有限公司、岳阳林联化工化纤有限公司、岳阳九华锦纶有限公司、岳阳力帆化工有限责任公司、岳阳雅达塑胶有限公司。</w:t>
      </w:r>
    </w:p>
    <w:p>
      <w:pPr>
        <w:ind w:firstLine="640" w:firstLineChars="200"/>
        <w:rPr>
          <w:rFonts w:ascii="黑体" w:hAnsi="黑体" w:eastAsia="黑体"/>
          <w:sz w:val="32"/>
          <w:szCs w:val="32"/>
        </w:rPr>
      </w:pPr>
      <w:r>
        <w:rPr>
          <w:rFonts w:hint="eastAsia" w:ascii="黑体" w:hAnsi="黑体" w:eastAsia="黑体"/>
          <w:sz w:val="32"/>
          <w:szCs w:val="32"/>
        </w:rPr>
        <w:t>七、工作要求</w:t>
      </w:r>
    </w:p>
    <w:p>
      <w:pPr>
        <w:rPr>
          <w:rFonts w:ascii="仿宋_GB2312" w:hAnsi="Calibri" w:eastAsia="仿宋_GB2312"/>
          <w:sz w:val="32"/>
          <w:szCs w:val="32"/>
        </w:rPr>
      </w:pPr>
      <w:r>
        <w:rPr>
          <w:rFonts w:hint="eastAsia" w:ascii="仿宋_GB2312" w:hAnsi="Calibri" w:eastAsia="仿宋_GB2312"/>
          <w:sz w:val="32"/>
          <w:szCs w:val="32"/>
        </w:rPr>
        <w:t xml:space="preserve">   （一）要认真制订现场检查方案，做好检查前各项准备工作。</w:t>
      </w:r>
    </w:p>
    <w:p>
      <w:pPr>
        <w:rPr>
          <w:rFonts w:ascii="仿宋_GB2312" w:hAnsi="Calibri" w:eastAsia="仿宋_GB2312"/>
          <w:sz w:val="32"/>
          <w:szCs w:val="32"/>
        </w:rPr>
      </w:pPr>
      <w:r>
        <w:rPr>
          <w:rFonts w:hint="eastAsia" w:ascii="仿宋_GB2312" w:hAnsi="Calibri" w:eastAsia="仿宋_GB2312"/>
          <w:sz w:val="32"/>
          <w:szCs w:val="32"/>
        </w:rPr>
        <w:t xml:space="preserve">   （二)要认真贯彻落实《安全生产行政执法规范用语指引》通知精神，加强安全生产行政执法现规范化建设。</w:t>
      </w:r>
    </w:p>
    <w:p>
      <w:pPr>
        <w:rPr>
          <w:rFonts w:ascii="仿宋_GB2312" w:hAnsi="Calibri" w:eastAsia="仿宋_GB2312"/>
          <w:sz w:val="32"/>
          <w:szCs w:val="32"/>
        </w:rPr>
      </w:pPr>
      <w:r>
        <w:rPr>
          <w:rFonts w:hint="eastAsia" w:ascii="仿宋_GB2312" w:hAnsi="Calibri" w:eastAsia="仿宋_GB2312"/>
          <w:sz w:val="32"/>
          <w:szCs w:val="32"/>
        </w:rPr>
        <w:t xml:space="preserve">   （三）严格执行中央八项规定精神和党风廉政建设规定，并接受监管检查对象的监督。</w:t>
      </w:r>
    </w:p>
    <w:p>
      <w:pPr>
        <w:spacing w:line="560" w:lineRule="exact"/>
        <w:rPr>
          <w:rFonts w:ascii="仿宋_GB2312" w:hAnsi="Calibri" w:eastAsia="仿宋_GB2312"/>
          <w:sz w:val="32"/>
          <w:szCs w:val="32"/>
        </w:rPr>
      </w:pPr>
    </w:p>
    <w:p>
      <w:pPr>
        <w:spacing w:line="560" w:lineRule="exact"/>
        <w:rPr>
          <w:rFonts w:eastAsia="黑体"/>
          <w:sz w:val="32"/>
          <w:szCs w:val="32"/>
        </w:rPr>
      </w:pPr>
    </w:p>
    <w:p>
      <w:pPr>
        <w:spacing w:line="560" w:lineRule="exact"/>
        <w:rPr>
          <w:rFonts w:eastAsia="黑体"/>
          <w:sz w:val="32"/>
          <w:szCs w:val="32"/>
        </w:rPr>
      </w:pPr>
    </w:p>
    <w:p>
      <w:pPr>
        <w:spacing w:line="560" w:lineRule="exact"/>
        <w:rPr>
          <w:rFonts w:eastAsia="黑体"/>
          <w:sz w:val="32"/>
          <w:szCs w:val="32"/>
        </w:rPr>
      </w:pPr>
    </w:p>
    <w:p>
      <w:pPr>
        <w:spacing w:line="560" w:lineRule="exact"/>
        <w:rPr>
          <w:rFonts w:eastAsia="黑体"/>
          <w:sz w:val="32"/>
          <w:szCs w:val="32"/>
        </w:rPr>
      </w:pP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rPr>
                              <w:sz w:val="30"/>
                              <w:szCs w:val="30"/>
                            </w:rPr>
                          </w:pPr>
                          <w:r>
                            <w:rPr>
                              <w:sz w:val="30"/>
                              <w:szCs w:val="30"/>
                            </w:rPr>
                            <w:fldChar w:fldCharType="begin"/>
                          </w:r>
                          <w:r>
                            <w:rPr>
                              <w:sz w:val="30"/>
                              <w:szCs w:val="30"/>
                            </w:rPr>
                            <w:instrText xml:space="preserve"> PAGE  \* MERGEFORMAT </w:instrText>
                          </w:r>
                          <w:r>
                            <w:rPr>
                              <w:sz w:val="30"/>
                              <w:szCs w:val="30"/>
                            </w:rPr>
                            <w:fldChar w:fldCharType="separate"/>
                          </w:r>
                          <w:r>
                            <w:rPr>
                              <w:sz w:val="30"/>
                              <w:szCs w:val="30"/>
                            </w:rPr>
                            <w:t>- 23 -</w:t>
                          </w:r>
                          <w:r>
                            <w:rPr>
                              <w:sz w:val="30"/>
                              <w:szCs w:val="30"/>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pPr>
                      <w:pStyle w:val="3"/>
                      <w:rPr>
                        <w:sz w:val="30"/>
                        <w:szCs w:val="30"/>
                      </w:rPr>
                    </w:pPr>
                    <w:r>
                      <w:rPr>
                        <w:sz w:val="30"/>
                        <w:szCs w:val="30"/>
                      </w:rPr>
                      <w:fldChar w:fldCharType="begin"/>
                    </w:r>
                    <w:r>
                      <w:rPr>
                        <w:sz w:val="30"/>
                        <w:szCs w:val="30"/>
                      </w:rPr>
                      <w:instrText xml:space="preserve"> PAGE  \* MERGEFORMAT </w:instrText>
                    </w:r>
                    <w:r>
                      <w:rPr>
                        <w:sz w:val="30"/>
                        <w:szCs w:val="30"/>
                      </w:rPr>
                      <w:fldChar w:fldCharType="separate"/>
                    </w:r>
                    <w:r>
                      <w:rPr>
                        <w:sz w:val="30"/>
                        <w:szCs w:val="30"/>
                      </w:rPr>
                      <w:t>- 23 -</w:t>
                    </w:r>
                    <w:r>
                      <w:rPr>
                        <w:sz w:val="30"/>
                        <w:szCs w:val="30"/>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72A6BE1"/>
    <w:multiLevelType w:val="multilevel"/>
    <w:tmpl w:val="472A6BE1"/>
    <w:lvl w:ilvl="0" w:tentative="0">
      <w:start w:val="1"/>
      <w:numFmt w:val="chineseCounting"/>
      <w:suff w:val="nothing"/>
      <w:lvlText w:val="%1、"/>
      <w:lvlJc w:val="left"/>
      <w:pPr>
        <w:ind w:left="0" w:firstLine="0"/>
      </w:pPr>
      <w:rPr>
        <w:rFonts w:hint="eastAsia" w:ascii="宋体" w:hAnsi="宋体" w:eastAsia="宋体"/>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U1YTAwMDczYjY1N2QwMWRkOTJkMmFmZTU5MzlkOGQifQ=="/>
  </w:docVars>
  <w:rsids>
    <w:rsidRoot w:val="2F377404"/>
    <w:rsid w:val="00026470"/>
    <w:rsid w:val="000317C4"/>
    <w:rsid w:val="0003210E"/>
    <w:rsid w:val="00036109"/>
    <w:rsid w:val="0007253D"/>
    <w:rsid w:val="00085C2F"/>
    <w:rsid w:val="00086FD9"/>
    <w:rsid w:val="000A5B4C"/>
    <w:rsid w:val="000C0AB1"/>
    <w:rsid w:val="000C2ECC"/>
    <w:rsid w:val="000C6671"/>
    <w:rsid w:val="000C7084"/>
    <w:rsid w:val="000D3256"/>
    <w:rsid w:val="000F6A59"/>
    <w:rsid w:val="000F6B59"/>
    <w:rsid w:val="00101C4B"/>
    <w:rsid w:val="00117432"/>
    <w:rsid w:val="00121C0B"/>
    <w:rsid w:val="001259B4"/>
    <w:rsid w:val="00125F5F"/>
    <w:rsid w:val="0013038C"/>
    <w:rsid w:val="00146148"/>
    <w:rsid w:val="00147F6E"/>
    <w:rsid w:val="00153146"/>
    <w:rsid w:val="00180C68"/>
    <w:rsid w:val="00184049"/>
    <w:rsid w:val="0018479E"/>
    <w:rsid w:val="001B100C"/>
    <w:rsid w:val="001B59C1"/>
    <w:rsid w:val="001E0243"/>
    <w:rsid w:val="001F3957"/>
    <w:rsid w:val="00216A91"/>
    <w:rsid w:val="00232336"/>
    <w:rsid w:val="002323DC"/>
    <w:rsid w:val="00257B9E"/>
    <w:rsid w:val="00260421"/>
    <w:rsid w:val="002658D7"/>
    <w:rsid w:val="00270D2D"/>
    <w:rsid w:val="0027204A"/>
    <w:rsid w:val="00276222"/>
    <w:rsid w:val="00276A03"/>
    <w:rsid w:val="002823F6"/>
    <w:rsid w:val="002A505B"/>
    <w:rsid w:val="002C1948"/>
    <w:rsid w:val="002D5461"/>
    <w:rsid w:val="002E772D"/>
    <w:rsid w:val="002F1528"/>
    <w:rsid w:val="002F1D48"/>
    <w:rsid w:val="002F2EE6"/>
    <w:rsid w:val="002F3EF1"/>
    <w:rsid w:val="003010CB"/>
    <w:rsid w:val="00306150"/>
    <w:rsid w:val="00337169"/>
    <w:rsid w:val="00344880"/>
    <w:rsid w:val="003611DC"/>
    <w:rsid w:val="003772B6"/>
    <w:rsid w:val="00385E0B"/>
    <w:rsid w:val="003860AE"/>
    <w:rsid w:val="0039228D"/>
    <w:rsid w:val="003A57DA"/>
    <w:rsid w:val="003A5FAD"/>
    <w:rsid w:val="003B5F95"/>
    <w:rsid w:val="003C00DD"/>
    <w:rsid w:val="003C41C8"/>
    <w:rsid w:val="003C7BA4"/>
    <w:rsid w:val="003D648C"/>
    <w:rsid w:val="003D7609"/>
    <w:rsid w:val="003E06A4"/>
    <w:rsid w:val="00400C99"/>
    <w:rsid w:val="00402794"/>
    <w:rsid w:val="004219D1"/>
    <w:rsid w:val="00443904"/>
    <w:rsid w:val="00460A60"/>
    <w:rsid w:val="00462426"/>
    <w:rsid w:val="00467B3B"/>
    <w:rsid w:val="004734ED"/>
    <w:rsid w:val="00473CCD"/>
    <w:rsid w:val="004950D9"/>
    <w:rsid w:val="0049626C"/>
    <w:rsid w:val="004A19D8"/>
    <w:rsid w:val="004A574B"/>
    <w:rsid w:val="004A72B5"/>
    <w:rsid w:val="004C7BBB"/>
    <w:rsid w:val="00507E6F"/>
    <w:rsid w:val="005331D3"/>
    <w:rsid w:val="00535FE7"/>
    <w:rsid w:val="00550F7A"/>
    <w:rsid w:val="00551BA8"/>
    <w:rsid w:val="00580D68"/>
    <w:rsid w:val="00593C46"/>
    <w:rsid w:val="005A6AB6"/>
    <w:rsid w:val="005B3091"/>
    <w:rsid w:val="005B48B9"/>
    <w:rsid w:val="005B5974"/>
    <w:rsid w:val="005C2654"/>
    <w:rsid w:val="0060616A"/>
    <w:rsid w:val="00616B19"/>
    <w:rsid w:val="006274F5"/>
    <w:rsid w:val="00655294"/>
    <w:rsid w:val="00665217"/>
    <w:rsid w:val="00692488"/>
    <w:rsid w:val="006C340E"/>
    <w:rsid w:val="006D3A48"/>
    <w:rsid w:val="006D5859"/>
    <w:rsid w:val="006E0FBC"/>
    <w:rsid w:val="006F1C82"/>
    <w:rsid w:val="007028BA"/>
    <w:rsid w:val="00702C24"/>
    <w:rsid w:val="00714BCA"/>
    <w:rsid w:val="007216EA"/>
    <w:rsid w:val="007454A4"/>
    <w:rsid w:val="00752D74"/>
    <w:rsid w:val="007612E0"/>
    <w:rsid w:val="007648CC"/>
    <w:rsid w:val="00777591"/>
    <w:rsid w:val="00782026"/>
    <w:rsid w:val="0079045F"/>
    <w:rsid w:val="007A203E"/>
    <w:rsid w:val="007A3F5D"/>
    <w:rsid w:val="007B1FFB"/>
    <w:rsid w:val="007B65F8"/>
    <w:rsid w:val="007C2664"/>
    <w:rsid w:val="007C3067"/>
    <w:rsid w:val="007D1E67"/>
    <w:rsid w:val="007D7C69"/>
    <w:rsid w:val="007F5916"/>
    <w:rsid w:val="008034CA"/>
    <w:rsid w:val="00804A22"/>
    <w:rsid w:val="00824835"/>
    <w:rsid w:val="008301B8"/>
    <w:rsid w:val="008514F4"/>
    <w:rsid w:val="00854BCF"/>
    <w:rsid w:val="00872950"/>
    <w:rsid w:val="00893605"/>
    <w:rsid w:val="008A7894"/>
    <w:rsid w:val="008C13A0"/>
    <w:rsid w:val="008C242D"/>
    <w:rsid w:val="008D0D3B"/>
    <w:rsid w:val="008D36FA"/>
    <w:rsid w:val="008D46CA"/>
    <w:rsid w:val="008D6D0A"/>
    <w:rsid w:val="008F4BCB"/>
    <w:rsid w:val="008F4E0C"/>
    <w:rsid w:val="008F5142"/>
    <w:rsid w:val="008F6CF6"/>
    <w:rsid w:val="00905DED"/>
    <w:rsid w:val="0092081B"/>
    <w:rsid w:val="00936D41"/>
    <w:rsid w:val="0093713C"/>
    <w:rsid w:val="0093791D"/>
    <w:rsid w:val="00947A1C"/>
    <w:rsid w:val="009518FF"/>
    <w:rsid w:val="00967F48"/>
    <w:rsid w:val="00971D18"/>
    <w:rsid w:val="00986EEE"/>
    <w:rsid w:val="00992DB9"/>
    <w:rsid w:val="009A157B"/>
    <w:rsid w:val="009E1CDB"/>
    <w:rsid w:val="009E43D4"/>
    <w:rsid w:val="009E5308"/>
    <w:rsid w:val="009E5460"/>
    <w:rsid w:val="009F01A9"/>
    <w:rsid w:val="00A35D2F"/>
    <w:rsid w:val="00A43207"/>
    <w:rsid w:val="00A50926"/>
    <w:rsid w:val="00A534A3"/>
    <w:rsid w:val="00A553A2"/>
    <w:rsid w:val="00A744D6"/>
    <w:rsid w:val="00A86629"/>
    <w:rsid w:val="00AE171D"/>
    <w:rsid w:val="00AE1AC2"/>
    <w:rsid w:val="00B05B1E"/>
    <w:rsid w:val="00B06212"/>
    <w:rsid w:val="00B12E32"/>
    <w:rsid w:val="00B149D8"/>
    <w:rsid w:val="00B2264C"/>
    <w:rsid w:val="00B22C2F"/>
    <w:rsid w:val="00B64FB6"/>
    <w:rsid w:val="00B90010"/>
    <w:rsid w:val="00B96E56"/>
    <w:rsid w:val="00BA7F33"/>
    <w:rsid w:val="00BB2717"/>
    <w:rsid w:val="00BB2924"/>
    <w:rsid w:val="00BC5340"/>
    <w:rsid w:val="00BD2AF5"/>
    <w:rsid w:val="00BF53EF"/>
    <w:rsid w:val="00C036DE"/>
    <w:rsid w:val="00C3174C"/>
    <w:rsid w:val="00C54BBF"/>
    <w:rsid w:val="00C6545B"/>
    <w:rsid w:val="00C85D18"/>
    <w:rsid w:val="00C91E7B"/>
    <w:rsid w:val="00C93B4D"/>
    <w:rsid w:val="00CA0E6C"/>
    <w:rsid w:val="00CF5ADB"/>
    <w:rsid w:val="00D04D42"/>
    <w:rsid w:val="00D3051E"/>
    <w:rsid w:val="00D636DC"/>
    <w:rsid w:val="00D66654"/>
    <w:rsid w:val="00D81D2B"/>
    <w:rsid w:val="00D90C2C"/>
    <w:rsid w:val="00DA15D8"/>
    <w:rsid w:val="00DB066B"/>
    <w:rsid w:val="00DB639E"/>
    <w:rsid w:val="00DB79D5"/>
    <w:rsid w:val="00DD34C5"/>
    <w:rsid w:val="00DD4579"/>
    <w:rsid w:val="00DE1B95"/>
    <w:rsid w:val="00DE3385"/>
    <w:rsid w:val="00DE5FB8"/>
    <w:rsid w:val="00DE739D"/>
    <w:rsid w:val="00DF2B53"/>
    <w:rsid w:val="00DF54C0"/>
    <w:rsid w:val="00DF7578"/>
    <w:rsid w:val="00E15856"/>
    <w:rsid w:val="00E21D17"/>
    <w:rsid w:val="00E2644C"/>
    <w:rsid w:val="00E34711"/>
    <w:rsid w:val="00E50D70"/>
    <w:rsid w:val="00E6355B"/>
    <w:rsid w:val="00E76BBB"/>
    <w:rsid w:val="00E83CF9"/>
    <w:rsid w:val="00E83DFE"/>
    <w:rsid w:val="00E87132"/>
    <w:rsid w:val="00EA4BDF"/>
    <w:rsid w:val="00EB30B5"/>
    <w:rsid w:val="00EB79D6"/>
    <w:rsid w:val="00EC7BEB"/>
    <w:rsid w:val="00ED4EF7"/>
    <w:rsid w:val="00ED5496"/>
    <w:rsid w:val="00ED64F9"/>
    <w:rsid w:val="00EE1C7D"/>
    <w:rsid w:val="00EF1132"/>
    <w:rsid w:val="00EF44FE"/>
    <w:rsid w:val="00F06B03"/>
    <w:rsid w:val="00F353DE"/>
    <w:rsid w:val="00F40969"/>
    <w:rsid w:val="00F46484"/>
    <w:rsid w:val="00F5688F"/>
    <w:rsid w:val="00F5792A"/>
    <w:rsid w:val="00F75236"/>
    <w:rsid w:val="00F83537"/>
    <w:rsid w:val="00F94C3E"/>
    <w:rsid w:val="00F96F77"/>
    <w:rsid w:val="00FB62FA"/>
    <w:rsid w:val="00FB664D"/>
    <w:rsid w:val="00FC40D8"/>
    <w:rsid w:val="00FC7126"/>
    <w:rsid w:val="00FD0753"/>
    <w:rsid w:val="00FD5810"/>
    <w:rsid w:val="00FD7FFD"/>
    <w:rsid w:val="00FF53DF"/>
    <w:rsid w:val="00FF781C"/>
    <w:rsid w:val="06E758A2"/>
    <w:rsid w:val="0B5807E8"/>
    <w:rsid w:val="0B6C2B48"/>
    <w:rsid w:val="0EFD592E"/>
    <w:rsid w:val="187229F5"/>
    <w:rsid w:val="1BDD2DDC"/>
    <w:rsid w:val="22C407E5"/>
    <w:rsid w:val="2B4A1AA4"/>
    <w:rsid w:val="2C970D19"/>
    <w:rsid w:val="2D0E48E2"/>
    <w:rsid w:val="2DDD6BFF"/>
    <w:rsid w:val="2F377404"/>
    <w:rsid w:val="37CF580A"/>
    <w:rsid w:val="385201EA"/>
    <w:rsid w:val="38676F5C"/>
    <w:rsid w:val="3B476519"/>
    <w:rsid w:val="3CE14803"/>
    <w:rsid w:val="3CE539F7"/>
    <w:rsid w:val="3D932E36"/>
    <w:rsid w:val="3E66679D"/>
    <w:rsid w:val="3EC36AE2"/>
    <w:rsid w:val="40864F8F"/>
    <w:rsid w:val="46DF2D3D"/>
    <w:rsid w:val="49E008CD"/>
    <w:rsid w:val="549534E0"/>
    <w:rsid w:val="57342B3C"/>
    <w:rsid w:val="58F11E1D"/>
    <w:rsid w:val="612B76EB"/>
    <w:rsid w:val="67CD5013"/>
    <w:rsid w:val="705362D1"/>
    <w:rsid w:val="78280044"/>
    <w:rsid w:val="78570B41"/>
    <w:rsid w:val="78BD22C6"/>
    <w:rsid w:val="78DA7590"/>
    <w:rsid w:val="7FF4469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qFormat/>
    <w:uiPriority w:val="0"/>
    <w:rPr>
      <w:sz w:val="18"/>
      <w:szCs w:val="18"/>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6">
    <w:name w:val="Table Gri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
  </w:style>
  <w:style w:type="character" w:styleId="8">
    <w:name w:val="Hyperlink"/>
    <w:basedOn w:val="7"/>
    <w:qFormat/>
    <w:uiPriority w:val="0"/>
    <w:rPr>
      <w:color w:val="0563C1" w:themeColor="hyperlink"/>
      <w:u w:val="single"/>
    </w:rPr>
  </w:style>
  <w:style w:type="character" w:customStyle="1" w:styleId="9">
    <w:name w:val="批注框文本 Char"/>
    <w:basedOn w:val="7"/>
    <w:link w:val="2"/>
    <w:qFormat/>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4F45490-B153-49BD-B3DB-ED283CCA60C9}">
  <ds:schemaRefs/>
</ds:datastoreItem>
</file>

<file path=docProps/app.xml><?xml version="1.0" encoding="utf-8"?>
<Properties xmlns="http://schemas.openxmlformats.org/officeDocument/2006/extended-properties" xmlns:vt="http://schemas.openxmlformats.org/officeDocument/2006/docPropsVTypes">
  <Template>Normal</Template>
  <Pages>16</Pages>
  <Words>7991</Words>
  <Characters>8178</Characters>
  <Lines>88</Lines>
  <Paragraphs>24</Paragraphs>
  <TotalTime>718</TotalTime>
  <ScaleCrop>false</ScaleCrop>
  <LinksUpToDate>false</LinksUpToDate>
  <CharactersWithSpaces>8213</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2021-04-06T07:26:00Z</dcterms:created>
  <dc:creator>Administrator</dc:creator>
  <cp:lastModifiedBy>张志超</cp:lastModifiedBy>
  <cp:lastPrinted>2022-04-07T06:17:00Z</cp:lastPrinted>
  <dcterms:modified xsi:type="dcterms:W3CDTF">2023-01-12T09:15:26Z</dcterms:modified>
  <cp:revision>511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4ADA4456479245C49220CF008E1993A4</vt:lpwstr>
  </property>
</Properties>
</file>