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inorBidi"/>
          <w:b/>
          <w:sz w:val="48"/>
          <w:szCs w:val="48"/>
        </w:rPr>
      </w:pPr>
      <w:r>
        <w:rPr>
          <w:rFonts w:hint="eastAsia" w:asciiTheme="majorEastAsia" w:hAnsiTheme="majorEastAsia" w:eastAsiaTheme="majorEastAsia" w:cstheme="minorBidi"/>
          <w:b/>
          <w:sz w:val="48"/>
          <w:szCs w:val="48"/>
        </w:rPr>
        <w:t>岳阳市云溪区清溪村、双花村联村</w:t>
      </w:r>
    </w:p>
    <w:p>
      <w:pPr>
        <w:jc w:val="center"/>
        <w:rPr>
          <w:rFonts w:asciiTheme="majorEastAsia" w:hAnsiTheme="majorEastAsia" w:eastAsiaTheme="majorEastAsia" w:cstheme="minorBidi"/>
          <w:b/>
          <w:sz w:val="48"/>
          <w:szCs w:val="48"/>
        </w:rPr>
      </w:pPr>
      <w:r>
        <w:rPr>
          <w:rFonts w:hint="eastAsia" w:asciiTheme="majorEastAsia" w:hAnsiTheme="majorEastAsia" w:eastAsiaTheme="majorEastAsia" w:cstheme="minorBidi"/>
          <w:b/>
          <w:sz w:val="48"/>
          <w:szCs w:val="48"/>
        </w:rPr>
        <w:t>安全饮水巩固提升项目</w:t>
      </w:r>
    </w:p>
    <w:p>
      <w:pPr>
        <w:jc w:val="center"/>
        <w:rPr>
          <w:rFonts w:ascii="方正小标宋简体" w:eastAsia="方正小标宋简体" w:hAnsiTheme="minorHAnsi" w:cstheme="minorBidi"/>
          <w:b/>
          <w:sz w:val="48"/>
          <w:szCs w:val="48"/>
        </w:rPr>
      </w:pPr>
    </w:p>
    <w:p>
      <w:pPr>
        <w:rPr>
          <w:rFonts w:ascii="华文行楷" w:eastAsia="华文行楷"/>
          <w:b/>
          <w:sz w:val="56"/>
          <w:szCs w:val="56"/>
        </w:rPr>
      </w:pPr>
    </w:p>
    <w:p>
      <w:pPr>
        <w:ind w:firstLine="3913" w:firstLineChars="698"/>
        <w:rPr>
          <w:rFonts w:ascii="华文行楷" w:eastAsia="华文行楷"/>
          <w:b/>
          <w:sz w:val="56"/>
          <w:szCs w:val="56"/>
        </w:rPr>
      </w:pPr>
      <w:r>
        <w:rPr>
          <w:rFonts w:hint="eastAsia" w:ascii="华文行楷" w:eastAsia="华文行楷"/>
          <w:b/>
          <w:sz w:val="56"/>
          <w:szCs w:val="56"/>
        </w:rPr>
        <w:t xml:space="preserve">绩 </w:t>
      </w:r>
    </w:p>
    <w:p>
      <w:pPr>
        <w:ind w:firstLine="3913" w:firstLineChars="698"/>
        <w:rPr>
          <w:rFonts w:ascii="华文行楷" w:eastAsia="华文行楷"/>
          <w:b/>
          <w:sz w:val="56"/>
          <w:szCs w:val="56"/>
        </w:rPr>
      </w:pPr>
      <w:r>
        <w:rPr>
          <w:rFonts w:hint="eastAsia" w:ascii="华文行楷" w:eastAsia="华文行楷"/>
          <w:b/>
          <w:sz w:val="56"/>
          <w:szCs w:val="56"/>
        </w:rPr>
        <w:t>效</w:t>
      </w:r>
    </w:p>
    <w:p>
      <w:pPr>
        <w:ind w:firstLine="3913" w:firstLineChars="698"/>
        <w:rPr>
          <w:rFonts w:ascii="华文行楷" w:eastAsia="华文行楷"/>
          <w:b/>
          <w:sz w:val="56"/>
          <w:szCs w:val="56"/>
        </w:rPr>
      </w:pPr>
      <w:r>
        <w:rPr>
          <w:rFonts w:hint="eastAsia" w:ascii="华文行楷" w:eastAsia="华文行楷"/>
          <w:b/>
          <w:sz w:val="56"/>
          <w:szCs w:val="56"/>
        </w:rPr>
        <w:t>评</w:t>
      </w:r>
    </w:p>
    <w:p>
      <w:pPr>
        <w:ind w:firstLine="3913" w:firstLineChars="698"/>
        <w:rPr>
          <w:rFonts w:ascii="华文行楷" w:eastAsia="华文行楷"/>
          <w:b/>
          <w:sz w:val="56"/>
          <w:szCs w:val="56"/>
        </w:rPr>
      </w:pPr>
      <w:r>
        <w:rPr>
          <w:rFonts w:hint="eastAsia" w:ascii="华文行楷" w:eastAsia="华文行楷"/>
          <w:b/>
          <w:sz w:val="56"/>
          <w:szCs w:val="56"/>
        </w:rPr>
        <w:t>价</w:t>
      </w:r>
    </w:p>
    <w:p>
      <w:pPr>
        <w:ind w:firstLine="3913" w:firstLineChars="698"/>
        <w:rPr>
          <w:rFonts w:ascii="华文行楷" w:eastAsia="华文行楷"/>
          <w:b/>
          <w:sz w:val="56"/>
          <w:szCs w:val="56"/>
        </w:rPr>
      </w:pPr>
      <w:r>
        <w:rPr>
          <w:rFonts w:hint="eastAsia" w:ascii="华文行楷" w:eastAsia="华文行楷"/>
          <w:b/>
          <w:sz w:val="56"/>
          <w:szCs w:val="56"/>
        </w:rPr>
        <w:t>报</w:t>
      </w:r>
    </w:p>
    <w:p>
      <w:pPr>
        <w:ind w:firstLine="3913" w:firstLineChars="698"/>
        <w:rPr>
          <w:rFonts w:ascii="华文行楷" w:eastAsia="华文行楷"/>
          <w:b/>
          <w:sz w:val="56"/>
          <w:szCs w:val="56"/>
        </w:rPr>
      </w:pPr>
      <w:r>
        <w:rPr>
          <w:rFonts w:hint="eastAsia" w:ascii="华文行楷" w:eastAsia="华文行楷"/>
          <w:b/>
          <w:sz w:val="56"/>
          <w:szCs w:val="56"/>
        </w:rPr>
        <w:t>告</w:t>
      </w:r>
    </w:p>
    <w:p>
      <w:pPr>
        <w:rPr>
          <w:rFonts w:ascii="宋体" w:hAnsi="宋体" w:cs="宋体"/>
          <w:bCs/>
          <w:sz w:val="36"/>
          <w:szCs w:val="36"/>
        </w:rPr>
      </w:pPr>
    </w:p>
    <w:p>
      <w:pPr>
        <w:rPr>
          <w:rFonts w:ascii="宋体" w:hAnsi="宋体" w:cs="宋体"/>
          <w:bCs/>
          <w:sz w:val="36"/>
          <w:szCs w:val="36"/>
        </w:rPr>
      </w:pPr>
    </w:p>
    <w:p>
      <w:pPr>
        <w:rPr>
          <w:rFonts w:ascii="宋体" w:hAnsi="宋体" w:cs="宋体"/>
          <w:bCs/>
          <w:sz w:val="36"/>
          <w:szCs w:val="36"/>
        </w:rPr>
      </w:pPr>
    </w:p>
    <w:p>
      <w:pPr>
        <w:ind w:left="1579" w:leftChars="752" w:firstLine="180" w:firstLineChars="50"/>
        <w:rPr>
          <w:rFonts w:ascii="宋体" w:hAnsi="宋体" w:cs="宋体"/>
          <w:bCs/>
          <w:sz w:val="36"/>
          <w:szCs w:val="36"/>
        </w:rPr>
      </w:pPr>
      <w:r>
        <w:rPr>
          <w:rFonts w:hint="eastAsia" w:ascii="宋体" w:hAnsi="宋体" w:cs="宋体"/>
          <w:bCs/>
          <w:sz w:val="36"/>
          <w:szCs w:val="36"/>
        </w:rPr>
        <w:t>湖南公众会计师事务所有限公司</w:t>
      </w:r>
    </w:p>
    <w:p>
      <w:pPr>
        <w:ind w:firstLine="2200" w:firstLineChars="550"/>
        <w:rPr>
          <w:rFonts w:ascii="宋体" w:hAnsi="宋体" w:cs="宋体"/>
          <w:sz w:val="40"/>
          <w:szCs w:val="40"/>
        </w:rPr>
      </w:pPr>
      <w:r>
        <w:rPr>
          <w:rFonts w:hint="eastAsia" w:ascii="宋体" w:hAnsi="宋体" w:cs="宋体"/>
          <w:sz w:val="40"/>
          <w:szCs w:val="40"/>
        </w:rPr>
        <w:t>二〇二二年八月三十日</w:t>
      </w:r>
    </w:p>
    <w:p>
      <w:pPr>
        <w:rPr>
          <w:sz w:val="32"/>
          <w:szCs w:val="32"/>
        </w:rPr>
      </w:pPr>
    </w:p>
    <w:p>
      <w:pPr>
        <w:rPr>
          <w:sz w:val="32"/>
          <w:szCs w:val="32"/>
        </w:rPr>
      </w:pPr>
    </w:p>
    <w:p>
      <w:pPr>
        <w:rPr>
          <w:sz w:val="32"/>
          <w:szCs w:val="32"/>
        </w:rPr>
      </w:pPr>
    </w:p>
    <w:p>
      <w:pPr>
        <w:spacing w:line="348" w:lineRule="auto"/>
        <w:ind w:firstLine="723" w:firstLineChars="200"/>
        <w:rPr>
          <w:rFonts w:ascii="宋体" w:hAnsi="宋体" w:cs="宋体"/>
          <w:b/>
          <w:sz w:val="36"/>
          <w:szCs w:val="36"/>
        </w:rPr>
      </w:pPr>
      <w:r>
        <w:rPr>
          <w:rFonts w:hint="eastAsia" w:ascii="宋体" w:hAnsi="宋体" w:cs="宋体"/>
          <w:b/>
          <w:sz w:val="36"/>
          <w:szCs w:val="36"/>
        </w:rPr>
        <w:t>清溪村、双花村联村安全饮水巩固提升项目</w:t>
      </w:r>
    </w:p>
    <w:p>
      <w:pPr>
        <w:spacing w:line="348" w:lineRule="auto"/>
        <w:ind w:firstLine="2891" w:firstLineChars="800"/>
        <w:rPr>
          <w:rFonts w:ascii="宋体" w:hAnsi="宋体" w:cs="宋体"/>
          <w:b/>
          <w:sz w:val="36"/>
          <w:szCs w:val="36"/>
        </w:rPr>
      </w:pPr>
      <w:r>
        <w:rPr>
          <w:rFonts w:hint="eastAsia" w:ascii="宋体" w:hAnsi="宋体" w:cs="宋体"/>
          <w:b/>
          <w:sz w:val="36"/>
          <w:szCs w:val="36"/>
        </w:rPr>
        <w:t>绩效评价报告书</w:t>
      </w:r>
    </w:p>
    <w:p>
      <w:pPr>
        <w:rPr>
          <w:sz w:val="32"/>
          <w:szCs w:val="32"/>
        </w:rPr>
      </w:pPr>
    </w:p>
    <w:p>
      <w:pPr>
        <w:spacing w:line="720" w:lineRule="auto"/>
        <w:rPr>
          <w:rFonts w:eastAsia="仿宋_GB2312"/>
          <w:sz w:val="32"/>
          <w:szCs w:val="32"/>
        </w:rPr>
      </w:pPr>
      <w:r>
        <w:rPr>
          <w:rFonts w:hint="eastAsia" w:eastAsia="仿宋_GB2312"/>
          <w:b/>
          <w:sz w:val="32"/>
          <w:szCs w:val="32"/>
        </w:rPr>
        <w:t>评价类型</w:t>
      </w:r>
      <w:r>
        <w:rPr>
          <w:rFonts w:hint="eastAsia" w:eastAsia="仿宋_GB2312"/>
          <w:sz w:val="32"/>
          <w:szCs w:val="32"/>
        </w:rPr>
        <w:t>：实施过程评价□       完成结果评价☑</w:t>
      </w:r>
    </w:p>
    <w:p>
      <w:pPr>
        <w:spacing w:line="800" w:lineRule="exact"/>
        <w:ind w:left="1606" w:hanging="1606" w:hangingChars="500"/>
        <w:rPr>
          <w:rFonts w:eastAsia="仿宋_GB2312"/>
          <w:sz w:val="32"/>
          <w:szCs w:val="32"/>
          <w:u w:val="single"/>
        </w:rPr>
      </w:pPr>
      <w:r>
        <w:rPr>
          <w:rFonts w:hint="eastAsia" w:eastAsia="仿宋_GB2312"/>
          <w:b/>
          <w:sz w:val="32"/>
          <w:szCs w:val="32"/>
        </w:rPr>
        <w:t>项目名称：</w:t>
      </w:r>
      <w:r>
        <w:rPr>
          <w:rFonts w:hint="eastAsia" w:eastAsia="仿宋_GB2312"/>
          <w:sz w:val="32"/>
          <w:szCs w:val="32"/>
          <w:u w:val="single"/>
        </w:rPr>
        <w:t>清溪村、双花村联村安全饮水巩固提升项目</w:t>
      </w:r>
    </w:p>
    <w:p>
      <w:pPr>
        <w:spacing w:line="720" w:lineRule="auto"/>
        <w:rPr>
          <w:rFonts w:eastAsia="仿宋_GB2312"/>
          <w:sz w:val="32"/>
          <w:szCs w:val="32"/>
          <w:u w:val="single"/>
        </w:rPr>
      </w:pPr>
      <w:r>
        <w:rPr>
          <w:rFonts w:hint="eastAsia" w:eastAsia="仿宋_GB2312"/>
          <w:b/>
          <w:sz w:val="32"/>
          <w:szCs w:val="32"/>
        </w:rPr>
        <w:t>主管单位：</w:t>
      </w:r>
      <w:r>
        <w:rPr>
          <w:rFonts w:hint="eastAsia" w:eastAsia="仿宋_GB2312"/>
          <w:sz w:val="32"/>
          <w:szCs w:val="32"/>
          <w:u w:val="single"/>
        </w:rPr>
        <w:t xml:space="preserve">岳阳市云溪区云溪街道办事处             </w:t>
      </w:r>
    </w:p>
    <w:p>
      <w:pPr>
        <w:spacing w:line="720" w:lineRule="auto"/>
        <w:rPr>
          <w:rFonts w:eastAsia="仿宋_GB2312"/>
          <w:sz w:val="32"/>
        </w:rPr>
      </w:pPr>
      <w:r>
        <w:rPr>
          <w:rFonts w:hint="eastAsia" w:eastAsia="仿宋_GB2312"/>
          <w:b/>
          <w:sz w:val="32"/>
          <w:szCs w:val="32"/>
        </w:rPr>
        <w:t>预算部门：</w:t>
      </w:r>
      <w:r>
        <w:rPr>
          <w:rFonts w:hint="eastAsia" w:eastAsia="仿宋_GB2312"/>
          <w:sz w:val="32"/>
          <w:u w:val="single"/>
        </w:rPr>
        <w:t xml:space="preserve">岳阳市云溪区财政局                     </w:t>
      </w:r>
    </w:p>
    <w:p>
      <w:pPr>
        <w:spacing w:line="720" w:lineRule="auto"/>
        <w:rPr>
          <w:rFonts w:eastAsia="仿宋_GB2312"/>
          <w:sz w:val="32"/>
        </w:rPr>
      </w:pPr>
      <w:r>
        <w:rPr>
          <w:rFonts w:hint="eastAsia" w:eastAsia="仿宋_GB2312"/>
          <w:b/>
          <w:sz w:val="32"/>
          <w:szCs w:val="32"/>
        </w:rPr>
        <w:t>评价机构</w:t>
      </w:r>
      <w:r>
        <w:rPr>
          <w:rFonts w:hint="eastAsia" w:eastAsia="仿宋_GB2312"/>
          <w:sz w:val="32"/>
        </w:rPr>
        <w:t>：</w:t>
      </w:r>
      <w:r>
        <w:rPr>
          <w:rFonts w:hint="eastAsia" w:eastAsia="仿宋_GB2312"/>
          <w:sz w:val="32"/>
          <w:u w:val="single"/>
        </w:rPr>
        <w:t xml:space="preserve">湖南公众会计师事务所有限公司            </w:t>
      </w:r>
    </w:p>
    <w:p>
      <w:pPr>
        <w:rPr>
          <w:rFonts w:ascii="仿宋_GB2312" w:eastAsia="仿宋_GB2312"/>
          <w:color w:val="000000"/>
          <w:sz w:val="32"/>
          <w:szCs w:val="32"/>
        </w:rPr>
      </w:pPr>
      <w:r>
        <w:rPr>
          <w:rFonts w:hint="eastAsia" w:eastAsia="仿宋_GB2312"/>
          <w:b/>
          <w:sz w:val="32"/>
          <w:szCs w:val="32"/>
        </w:rPr>
        <w:t>评价时期：</w:t>
      </w:r>
      <w:r>
        <w:rPr>
          <w:rFonts w:hint="eastAsia" w:ascii="仿宋_GB2312" w:eastAsia="仿宋_GB2312"/>
          <w:color w:val="000000"/>
          <w:sz w:val="32"/>
          <w:szCs w:val="32"/>
          <w:u w:val="single"/>
        </w:rPr>
        <w:t xml:space="preserve">2020年1月1日-2021年12月31日        </w:t>
      </w: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spacing w:line="480" w:lineRule="auto"/>
        <w:jc w:val="center"/>
        <w:rPr>
          <w:sz w:val="24"/>
        </w:rPr>
      </w:pPr>
    </w:p>
    <w:p>
      <w:pPr>
        <w:pStyle w:val="2"/>
      </w:pPr>
      <w:bookmarkStart w:id="87" w:name="_GoBack"/>
      <w:bookmarkEnd w:id="87"/>
    </w:p>
    <w:p>
      <w:pPr>
        <w:spacing w:line="480" w:lineRule="auto"/>
        <w:jc w:val="center"/>
        <w:rPr>
          <w:sz w:val="24"/>
        </w:rPr>
      </w:pPr>
    </w:p>
    <w:tbl>
      <w:tblPr>
        <w:tblStyle w:val="11"/>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276"/>
        <w:gridCol w:w="860"/>
        <w:gridCol w:w="242"/>
        <w:gridCol w:w="599"/>
        <w:gridCol w:w="331"/>
        <w:gridCol w:w="1261"/>
        <w:gridCol w:w="361"/>
        <w:gridCol w:w="740"/>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50" w:type="dxa"/>
            <w:gridSpan w:val="10"/>
            <w:noWrap/>
            <w:vAlign w:val="center"/>
          </w:tcPr>
          <w:p>
            <w:pPr>
              <w:jc w:val="center"/>
              <w:rPr>
                <w:rFonts w:ascii="宋体" w:hAnsi="宋体"/>
                <w:b/>
                <w:sz w:val="24"/>
              </w:rPr>
            </w:pPr>
            <w:r>
              <w:rPr>
                <w:rFonts w:hint="eastAsia" w:ascii="宋体" w:hAnsi="宋体"/>
                <w:b/>
                <w:sz w:val="24"/>
              </w:rPr>
              <w:t>一、专 项 资 金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761" w:type="dxa"/>
            <w:noWrap/>
            <w:vAlign w:val="center"/>
          </w:tcPr>
          <w:p>
            <w:pPr>
              <w:jc w:val="center"/>
              <w:rPr>
                <w:rFonts w:ascii="宋体" w:hAnsi="宋体"/>
                <w:sz w:val="24"/>
              </w:rPr>
            </w:pPr>
            <w:r>
              <w:rPr>
                <w:rFonts w:hint="eastAsia" w:ascii="宋体" w:hAnsi="宋体"/>
                <w:sz w:val="24"/>
              </w:rPr>
              <w:t>主管部门</w:t>
            </w:r>
          </w:p>
        </w:tc>
        <w:tc>
          <w:tcPr>
            <w:tcW w:w="3308" w:type="dxa"/>
            <w:gridSpan w:val="5"/>
            <w:noWrap/>
            <w:vAlign w:val="center"/>
          </w:tcPr>
          <w:p>
            <w:pPr>
              <w:rPr>
                <w:rFonts w:ascii="宋体" w:hAnsi="宋体"/>
                <w:sz w:val="24"/>
              </w:rPr>
            </w:pPr>
            <w:r>
              <w:rPr>
                <w:rFonts w:hint="eastAsia" w:ascii="宋体" w:hAnsi="宋体"/>
                <w:sz w:val="24"/>
              </w:rPr>
              <w:t>岳阳市云溪区街道办事处</w:t>
            </w:r>
          </w:p>
        </w:tc>
        <w:tc>
          <w:tcPr>
            <w:tcW w:w="1261" w:type="dxa"/>
            <w:noWrap/>
            <w:vAlign w:val="center"/>
          </w:tcPr>
          <w:p>
            <w:pPr>
              <w:rPr>
                <w:rFonts w:ascii="宋体" w:hAnsi="宋体"/>
                <w:sz w:val="24"/>
              </w:rPr>
            </w:pPr>
            <w:r>
              <w:rPr>
                <w:rFonts w:hint="eastAsia" w:ascii="宋体" w:hAnsi="宋体"/>
                <w:sz w:val="24"/>
              </w:rPr>
              <w:t>联系电话</w:t>
            </w:r>
          </w:p>
        </w:tc>
        <w:tc>
          <w:tcPr>
            <w:tcW w:w="2520" w:type="dxa"/>
            <w:gridSpan w:val="3"/>
            <w:noWrap/>
            <w:vAlign w:val="center"/>
          </w:tcPr>
          <w:p>
            <w:pPr>
              <w:rPr>
                <w:rFonts w:ascii="宋体" w:hAnsi="宋体"/>
                <w:sz w:val="24"/>
              </w:rPr>
            </w:pPr>
            <w:r>
              <w:rPr>
                <w:rFonts w:hint="eastAsia" w:ascii="宋体" w:hAnsi="宋体"/>
                <w:sz w:val="24"/>
              </w:rPr>
              <w:t>13975090993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761" w:type="dxa"/>
            <w:noWrap/>
            <w:vAlign w:val="center"/>
          </w:tcPr>
          <w:p>
            <w:pPr>
              <w:jc w:val="center"/>
              <w:rPr>
                <w:rFonts w:ascii="宋体" w:hAnsi="宋体"/>
                <w:sz w:val="24"/>
              </w:rPr>
            </w:pPr>
            <w:r>
              <w:rPr>
                <w:rFonts w:hint="eastAsia" w:ascii="宋体" w:hAnsi="宋体"/>
                <w:sz w:val="24"/>
              </w:rPr>
              <w:t>地址</w:t>
            </w:r>
          </w:p>
        </w:tc>
        <w:tc>
          <w:tcPr>
            <w:tcW w:w="3308" w:type="dxa"/>
            <w:gridSpan w:val="5"/>
            <w:noWrap/>
            <w:vAlign w:val="center"/>
          </w:tcPr>
          <w:p>
            <w:pPr>
              <w:rPr>
                <w:rFonts w:ascii="宋体" w:hAnsi="宋体"/>
                <w:sz w:val="24"/>
              </w:rPr>
            </w:pPr>
            <w:r>
              <w:rPr>
                <w:rFonts w:hint="eastAsia" w:ascii="宋体" w:hAnsi="宋体"/>
                <w:sz w:val="24"/>
              </w:rPr>
              <w:t>岳阳市云溪区云溪大道47号</w:t>
            </w:r>
          </w:p>
        </w:tc>
        <w:tc>
          <w:tcPr>
            <w:tcW w:w="1261" w:type="dxa"/>
            <w:noWrap/>
            <w:vAlign w:val="center"/>
          </w:tcPr>
          <w:p>
            <w:pPr>
              <w:rPr>
                <w:rFonts w:ascii="宋体" w:hAnsi="宋体"/>
                <w:sz w:val="24"/>
              </w:rPr>
            </w:pPr>
            <w:r>
              <w:rPr>
                <w:rFonts w:hint="eastAsia" w:ascii="宋体" w:hAnsi="宋体"/>
                <w:sz w:val="24"/>
              </w:rPr>
              <w:t>邮  编</w:t>
            </w:r>
          </w:p>
        </w:tc>
        <w:tc>
          <w:tcPr>
            <w:tcW w:w="2520" w:type="dxa"/>
            <w:gridSpan w:val="3"/>
            <w:noWrap/>
            <w:vAlign w:val="center"/>
          </w:tcPr>
          <w:p>
            <w:pPr>
              <w:rPr>
                <w:rFonts w:ascii="宋体" w:hAnsi="宋体"/>
                <w:sz w:val="24"/>
              </w:rPr>
            </w:pPr>
            <w:r>
              <w:rPr>
                <w:rFonts w:hint="eastAsia" w:ascii="宋体" w:hAnsi="宋体"/>
                <w:color w:val="000000"/>
                <w:sz w:val="24"/>
              </w:rPr>
              <w:t>414200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61" w:type="dxa"/>
            <w:noWrap/>
            <w:vAlign w:val="center"/>
          </w:tcPr>
          <w:p>
            <w:pPr>
              <w:jc w:val="center"/>
              <w:rPr>
                <w:rFonts w:ascii="宋体" w:hAnsi="宋体"/>
                <w:sz w:val="24"/>
              </w:rPr>
            </w:pPr>
            <w:r>
              <w:rPr>
                <w:rFonts w:hint="eastAsia" w:ascii="宋体" w:hAnsi="宋体"/>
                <w:sz w:val="24"/>
              </w:rPr>
              <w:t>专项资金名称</w:t>
            </w:r>
          </w:p>
        </w:tc>
        <w:tc>
          <w:tcPr>
            <w:tcW w:w="7089" w:type="dxa"/>
            <w:gridSpan w:val="9"/>
            <w:noWrap/>
            <w:vAlign w:val="center"/>
          </w:tcPr>
          <w:p>
            <w:pPr>
              <w:jc w:val="center"/>
              <w:rPr>
                <w:rFonts w:ascii="宋体" w:hAnsi="宋体"/>
                <w:sz w:val="24"/>
              </w:rPr>
            </w:pPr>
            <w:r>
              <w:rPr>
                <w:rFonts w:hint="eastAsia" w:ascii="宋体" w:hAnsi="宋体"/>
                <w:sz w:val="24"/>
              </w:rPr>
              <w:t>清溪村、双花村联村安全饮水巩固提升项目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761" w:type="dxa"/>
            <w:noWrap/>
            <w:vAlign w:val="center"/>
          </w:tcPr>
          <w:p>
            <w:pPr>
              <w:spacing w:line="400" w:lineRule="exact"/>
              <w:jc w:val="center"/>
              <w:rPr>
                <w:rFonts w:ascii="宋体" w:hAnsi="宋体"/>
                <w:sz w:val="24"/>
              </w:rPr>
            </w:pPr>
            <w:r>
              <w:rPr>
                <w:rFonts w:hint="eastAsia" w:ascii="宋体" w:hAnsi="宋体"/>
                <w:sz w:val="24"/>
              </w:rPr>
              <w:t>资金类型</w:t>
            </w:r>
          </w:p>
        </w:tc>
        <w:tc>
          <w:tcPr>
            <w:tcW w:w="7089" w:type="dxa"/>
            <w:gridSpan w:val="9"/>
            <w:noWrap/>
            <w:vAlign w:val="center"/>
          </w:tcPr>
          <w:p>
            <w:pPr>
              <w:spacing w:line="400" w:lineRule="exact"/>
              <w:jc w:val="left"/>
              <w:rPr>
                <w:rFonts w:ascii="宋体" w:hAnsi="宋体"/>
                <w:sz w:val="24"/>
              </w:rPr>
            </w:pPr>
            <w:r>
              <w:rPr>
                <w:rFonts w:hint="eastAsia" w:ascii="宋体" w:hAnsi="宋体"/>
                <w:sz w:val="24"/>
              </w:rPr>
              <w:t xml:space="preserve">公益性和公共基础设施建设  ☑  保护和改善生态环境 □ 促进欠发达地区经济和社会发展□    科技进步和高新技术产业化 □其他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761" w:type="dxa"/>
            <w:noWrap/>
            <w:vAlign w:val="center"/>
          </w:tcPr>
          <w:p>
            <w:pPr>
              <w:jc w:val="center"/>
              <w:rPr>
                <w:rFonts w:ascii="宋体" w:hAnsi="宋体"/>
                <w:sz w:val="24"/>
              </w:rPr>
            </w:pPr>
            <w:r>
              <w:rPr>
                <w:rFonts w:hint="eastAsia" w:ascii="宋体" w:hAnsi="宋体"/>
                <w:sz w:val="24"/>
              </w:rPr>
              <w:t>起止时间</w:t>
            </w:r>
          </w:p>
        </w:tc>
        <w:tc>
          <w:tcPr>
            <w:tcW w:w="7089" w:type="dxa"/>
            <w:gridSpan w:val="9"/>
            <w:noWrap/>
            <w:vAlign w:val="center"/>
          </w:tcPr>
          <w:p>
            <w:pPr>
              <w:rPr>
                <w:rFonts w:ascii="宋体" w:hAnsi="宋体"/>
                <w:sz w:val="24"/>
              </w:rPr>
            </w:pPr>
            <w:r>
              <w:rPr>
                <w:rFonts w:hint="eastAsia" w:ascii="宋体" w:hAnsi="宋体"/>
                <w:color w:val="000000"/>
                <w:sz w:val="24"/>
              </w:rPr>
              <w:t>2020年1月1日-2021年12月31日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761" w:type="dxa"/>
            <w:noWrap/>
            <w:vAlign w:val="center"/>
          </w:tcPr>
          <w:p>
            <w:pPr>
              <w:rPr>
                <w:rFonts w:ascii="宋体" w:hAnsi="宋体"/>
                <w:sz w:val="24"/>
              </w:rPr>
            </w:pPr>
            <w:r>
              <w:rPr>
                <w:rFonts w:hint="eastAsia" w:ascii="宋体" w:hAnsi="宋体"/>
                <w:sz w:val="24"/>
              </w:rPr>
              <w:t>专项资金总额</w:t>
            </w:r>
          </w:p>
        </w:tc>
        <w:tc>
          <w:tcPr>
            <w:tcW w:w="2378" w:type="dxa"/>
            <w:gridSpan w:val="3"/>
            <w:noWrap/>
            <w:vAlign w:val="center"/>
          </w:tcPr>
          <w:p>
            <w:pPr>
              <w:jc w:val="center"/>
              <w:rPr>
                <w:rFonts w:ascii="宋体" w:hAnsi="宋体"/>
                <w:sz w:val="24"/>
              </w:rPr>
            </w:pPr>
            <w:r>
              <w:rPr>
                <w:rFonts w:hint="eastAsia" w:ascii="宋体" w:hAnsi="宋体"/>
                <w:sz w:val="24"/>
              </w:rPr>
              <w:t>200万元</w:t>
            </w:r>
          </w:p>
        </w:tc>
        <w:tc>
          <w:tcPr>
            <w:tcW w:w="2552" w:type="dxa"/>
            <w:gridSpan w:val="4"/>
            <w:noWrap/>
            <w:vAlign w:val="center"/>
          </w:tcPr>
          <w:p>
            <w:pPr>
              <w:rPr>
                <w:rFonts w:ascii="宋体" w:hAnsi="宋体"/>
                <w:sz w:val="24"/>
              </w:rPr>
            </w:pPr>
            <w:r>
              <w:rPr>
                <w:rFonts w:ascii="宋体" w:hAnsi="宋体"/>
                <w:sz w:val="24"/>
              </w:rPr>
              <w:t>绩效评价</w:t>
            </w:r>
            <w:r>
              <w:rPr>
                <w:rFonts w:hint="eastAsia" w:ascii="宋体" w:hAnsi="宋体"/>
                <w:sz w:val="24"/>
              </w:rPr>
              <w:t>资金</w:t>
            </w:r>
            <w:r>
              <w:rPr>
                <w:rFonts w:ascii="宋体" w:hAnsi="宋体"/>
                <w:sz w:val="24"/>
              </w:rPr>
              <w:t>总额</w:t>
            </w:r>
          </w:p>
        </w:tc>
        <w:tc>
          <w:tcPr>
            <w:tcW w:w="2159" w:type="dxa"/>
            <w:gridSpan w:val="2"/>
            <w:noWrap/>
            <w:vAlign w:val="center"/>
          </w:tcPr>
          <w:p>
            <w:pPr>
              <w:ind w:firstLine="240" w:firstLineChars="100"/>
              <w:rPr>
                <w:rFonts w:ascii="宋体" w:hAnsi="宋体"/>
                <w:sz w:val="24"/>
              </w:rPr>
            </w:pPr>
            <w:r>
              <w:rPr>
                <w:rFonts w:hint="eastAsia" w:ascii="宋体" w:hAnsi="宋体"/>
                <w:color w:val="000000"/>
                <w:sz w:val="24"/>
              </w:rPr>
              <w:t>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850" w:type="dxa"/>
            <w:gridSpan w:val="10"/>
            <w:tcBorders>
              <w:bottom w:val="single" w:color="auto" w:sz="4" w:space="0"/>
            </w:tcBorders>
            <w:noWrap/>
            <w:vAlign w:val="center"/>
          </w:tcPr>
          <w:p>
            <w:pPr>
              <w:jc w:val="center"/>
              <w:rPr>
                <w:rFonts w:ascii="宋体" w:hAnsi="宋体"/>
                <w:b/>
                <w:sz w:val="24"/>
              </w:rPr>
            </w:pPr>
            <w:r>
              <w:rPr>
                <w:rFonts w:hint="eastAsia" w:ascii="宋体" w:hAnsi="宋体"/>
                <w:b/>
                <w:sz w:val="24"/>
              </w:rPr>
              <w:t>二、综合评价结论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037" w:type="dxa"/>
            <w:gridSpan w:val="2"/>
            <w:tcBorders>
              <w:bottom w:val="single" w:color="auto" w:sz="4" w:space="0"/>
            </w:tcBorders>
            <w:noWrap/>
            <w:vAlign w:val="center"/>
          </w:tcPr>
          <w:p>
            <w:pPr>
              <w:spacing w:line="400" w:lineRule="exact"/>
              <w:jc w:val="center"/>
              <w:rPr>
                <w:rFonts w:ascii="宋体" w:hAnsi="宋体"/>
                <w:sz w:val="24"/>
              </w:rPr>
            </w:pPr>
            <w:r>
              <w:rPr>
                <w:rFonts w:hint="eastAsia" w:ascii="宋体" w:hAnsi="宋体"/>
                <w:sz w:val="24"/>
              </w:rPr>
              <w:t>评价机构</w:t>
            </w:r>
          </w:p>
        </w:tc>
        <w:tc>
          <w:tcPr>
            <w:tcW w:w="5813" w:type="dxa"/>
            <w:gridSpan w:val="8"/>
            <w:tcBorders>
              <w:bottom w:val="single" w:color="auto" w:sz="4" w:space="0"/>
            </w:tcBorders>
            <w:noWrap/>
            <w:vAlign w:val="center"/>
          </w:tcPr>
          <w:p>
            <w:pPr>
              <w:jc w:val="center"/>
              <w:rPr>
                <w:rFonts w:ascii="宋体" w:hAnsi="宋体"/>
                <w:sz w:val="24"/>
              </w:rPr>
            </w:pPr>
            <w:r>
              <w:rPr>
                <w:rFonts w:hint="eastAsia" w:ascii="宋体" w:hAnsi="宋体"/>
                <w:sz w:val="24"/>
              </w:rPr>
              <w:t>湖南公众会计师事务所有限公司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037" w:type="dxa"/>
            <w:gridSpan w:val="2"/>
            <w:tcBorders>
              <w:bottom w:val="single" w:color="auto" w:sz="4" w:space="0"/>
            </w:tcBorders>
            <w:noWrap/>
            <w:vAlign w:val="center"/>
          </w:tcPr>
          <w:p>
            <w:pPr>
              <w:jc w:val="center"/>
              <w:rPr>
                <w:rFonts w:ascii="宋体" w:hAnsi="宋体"/>
                <w:sz w:val="24"/>
              </w:rPr>
            </w:pPr>
            <w:r>
              <w:rPr>
                <w:rFonts w:hint="eastAsia" w:ascii="宋体" w:hAnsi="宋体"/>
                <w:sz w:val="24"/>
              </w:rPr>
              <w:t>绩效评价综合得分</w:t>
            </w:r>
          </w:p>
        </w:tc>
        <w:tc>
          <w:tcPr>
            <w:tcW w:w="5813" w:type="dxa"/>
            <w:gridSpan w:val="8"/>
            <w:tcBorders>
              <w:bottom w:val="single" w:color="auto" w:sz="4" w:space="0"/>
            </w:tcBorders>
            <w:noWrap/>
            <w:vAlign w:val="center"/>
          </w:tcPr>
          <w:p>
            <w:pPr>
              <w:jc w:val="center"/>
              <w:rPr>
                <w:rFonts w:ascii="宋体" w:hAnsi="宋体"/>
                <w:sz w:val="24"/>
              </w:rPr>
            </w:pPr>
            <w:r>
              <w:rPr>
                <w:rFonts w:hint="eastAsia" w:ascii="宋体" w:hAnsi="宋体"/>
                <w:sz w:val="24"/>
              </w:rPr>
              <w:t>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3037" w:type="dxa"/>
            <w:gridSpan w:val="2"/>
            <w:tcBorders>
              <w:bottom w:val="single" w:color="auto" w:sz="4" w:space="0"/>
            </w:tcBorders>
            <w:noWrap/>
            <w:vAlign w:val="center"/>
          </w:tcPr>
          <w:p>
            <w:pPr>
              <w:jc w:val="center"/>
              <w:rPr>
                <w:rFonts w:ascii="宋体" w:hAnsi="宋体"/>
                <w:sz w:val="24"/>
              </w:rPr>
            </w:pPr>
            <w:r>
              <w:rPr>
                <w:rFonts w:hint="eastAsia" w:ascii="宋体" w:hAnsi="宋体"/>
                <w:sz w:val="24"/>
              </w:rPr>
              <w:t>绩效绩次级别评定</w:t>
            </w:r>
          </w:p>
        </w:tc>
        <w:tc>
          <w:tcPr>
            <w:tcW w:w="5813" w:type="dxa"/>
            <w:gridSpan w:val="8"/>
            <w:tcBorders>
              <w:bottom w:val="single" w:color="auto" w:sz="4" w:space="0"/>
            </w:tcBorders>
            <w:noWrap/>
            <w:vAlign w:val="center"/>
          </w:tcPr>
          <w:p>
            <w:pPr>
              <w:jc w:val="center"/>
              <w:rPr>
                <w:rFonts w:ascii="宋体" w:hAnsi="宋体"/>
                <w:sz w:val="24"/>
              </w:rPr>
            </w:pPr>
            <w:r>
              <w:rPr>
                <w:rFonts w:ascii="宋体" w:hAnsi="宋体"/>
                <w:sz w:val="24"/>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8850" w:type="dxa"/>
            <w:gridSpan w:val="10"/>
            <w:tcBorders>
              <w:bottom w:val="single" w:color="auto" w:sz="4" w:space="0"/>
            </w:tcBorders>
            <w:noWrap/>
            <w:vAlign w:val="center"/>
          </w:tcPr>
          <w:p>
            <w:pPr>
              <w:jc w:val="center"/>
              <w:rPr>
                <w:rFonts w:ascii="宋体" w:hAnsi="宋体"/>
                <w:b/>
                <w:sz w:val="24"/>
              </w:rPr>
            </w:pPr>
            <w:r>
              <w:rPr>
                <w:rFonts w:hint="eastAsia" w:ascii="宋体" w:hAnsi="宋体"/>
                <w:b/>
                <w:sz w:val="24"/>
              </w:rPr>
              <w:t>三、评价人员及机构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61" w:type="dxa"/>
            <w:noWrap/>
            <w:vAlign w:val="center"/>
          </w:tcPr>
          <w:p>
            <w:pPr>
              <w:jc w:val="center"/>
              <w:rPr>
                <w:rFonts w:ascii="宋体" w:hAnsi="宋体"/>
                <w:sz w:val="24"/>
              </w:rPr>
            </w:pPr>
            <w:r>
              <w:rPr>
                <w:rFonts w:hint="eastAsia" w:ascii="宋体" w:hAnsi="宋体"/>
                <w:sz w:val="24"/>
              </w:rPr>
              <w:t>姓名</w:t>
            </w:r>
          </w:p>
        </w:tc>
        <w:tc>
          <w:tcPr>
            <w:tcW w:w="1276" w:type="dxa"/>
            <w:noWrap/>
            <w:vAlign w:val="center"/>
          </w:tcPr>
          <w:p>
            <w:pPr>
              <w:jc w:val="center"/>
              <w:rPr>
                <w:rFonts w:ascii="宋体" w:hAnsi="宋体"/>
                <w:sz w:val="24"/>
              </w:rPr>
            </w:pPr>
            <w:r>
              <w:rPr>
                <w:rFonts w:hint="eastAsia" w:ascii="宋体" w:hAnsi="宋体"/>
                <w:sz w:val="24"/>
              </w:rPr>
              <w:t>专业</w:t>
            </w:r>
          </w:p>
        </w:tc>
        <w:tc>
          <w:tcPr>
            <w:tcW w:w="1701" w:type="dxa"/>
            <w:gridSpan w:val="3"/>
            <w:noWrap/>
            <w:vAlign w:val="center"/>
          </w:tcPr>
          <w:p>
            <w:pPr>
              <w:jc w:val="center"/>
              <w:rPr>
                <w:rFonts w:ascii="宋体" w:hAnsi="宋体"/>
                <w:sz w:val="24"/>
              </w:rPr>
            </w:pPr>
            <w:r>
              <w:rPr>
                <w:rFonts w:hint="eastAsia" w:ascii="宋体" w:hAnsi="宋体"/>
                <w:sz w:val="24"/>
              </w:rPr>
              <w:t>职称</w:t>
            </w:r>
          </w:p>
        </w:tc>
        <w:tc>
          <w:tcPr>
            <w:tcW w:w="2693" w:type="dxa"/>
            <w:gridSpan w:val="4"/>
            <w:noWrap/>
            <w:vAlign w:val="center"/>
          </w:tcPr>
          <w:p>
            <w:pPr>
              <w:jc w:val="center"/>
              <w:rPr>
                <w:rFonts w:ascii="宋体" w:hAnsi="宋体"/>
                <w:sz w:val="24"/>
              </w:rPr>
            </w:pPr>
            <w:r>
              <w:rPr>
                <w:rFonts w:hint="eastAsia" w:ascii="宋体" w:hAnsi="宋体"/>
                <w:sz w:val="24"/>
              </w:rPr>
              <w:t>单位</w:t>
            </w:r>
          </w:p>
        </w:tc>
        <w:tc>
          <w:tcPr>
            <w:tcW w:w="1419" w:type="dxa"/>
            <w:noWrap/>
            <w:vAlign w:val="center"/>
          </w:tcPr>
          <w:p>
            <w:pPr>
              <w:jc w:val="center"/>
              <w:rPr>
                <w:rFonts w:ascii="宋体" w:hAnsi="宋体"/>
                <w:sz w:val="24"/>
              </w:rPr>
            </w:pPr>
            <w:r>
              <w:rPr>
                <w:rFonts w:hint="eastAsia" w:ascii="宋体" w:hAnsi="宋体"/>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1761" w:type="dxa"/>
            <w:noWrap/>
            <w:vAlign w:val="center"/>
          </w:tcPr>
          <w:p>
            <w:pPr>
              <w:jc w:val="center"/>
              <w:rPr>
                <w:rFonts w:ascii="宋体" w:hAnsi="宋体"/>
                <w:sz w:val="24"/>
              </w:rPr>
            </w:pPr>
            <w:r>
              <w:rPr>
                <w:rFonts w:hint="eastAsia" w:ascii="宋体" w:hAnsi="宋体"/>
                <w:sz w:val="24"/>
              </w:rPr>
              <w:t>雷智茗</w:t>
            </w:r>
          </w:p>
        </w:tc>
        <w:tc>
          <w:tcPr>
            <w:tcW w:w="1276" w:type="dxa"/>
            <w:noWrap/>
            <w:vAlign w:val="center"/>
          </w:tcPr>
          <w:p>
            <w:pPr>
              <w:jc w:val="center"/>
              <w:rPr>
                <w:rFonts w:ascii="宋体" w:hAnsi="宋体"/>
                <w:sz w:val="24"/>
              </w:rPr>
            </w:pPr>
            <w:r>
              <w:rPr>
                <w:rFonts w:hint="eastAsia" w:ascii="宋体" w:hAnsi="宋体"/>
                <w:sz w:val="24"/>
              </w:rPr>
              <w:t>审计</w:t>
            </w:r>
          </w:p>
        </w:tc>
        <w:tc>
          <w:tcPr>
            <w:tcW w:w="1701" w:type="dxa"/>
            <w:gridSpan w:val="3"/>
            <w:noWrap/>
            <w:vAlign w:val="center"/>
          </w:tcPr>
          <w:p>
            <w:pPr>
              <w:jc w:val="center"/>
              <w:rPr>
                <w:rFonts w:ascii="宋体" w:hAnsi="宋体"/>
                <w:sz w:val="24"/>
              </w:rPr>
            </w:pPr>
            <w:r>
              <w:rPr>
                <w:rFonts w:hint="eastAsia" w:ascii="宋体" w:hAnsi="宋体"/>
                <w:sz w:val="24"/>
              </w:rPr>
              <w:t>注册会计师</w:t>
            </w:r>
          </w:p>
        </w:tc>
        <w:tc>
          <w:tcPr>
            <w:tcW w:w="2693" w:type="dxa"/>
            <w:gridSpan w:val="4"/>
            <w:noWrap/>
            <w:vAlign w:val="center"/>
          </w:tcPr>
          <w:p>
            <w:pPr>
              <w:jc w:val="center"/>
              <w:rPr>
                <w:rFonts w:ascii="宋体" w:hAnsi="宋体"/>
                <w:sz w:val="24"/>
              </w:rPr>
            </w:pPr>
            <w:r>
              <w:rPr>
                <w:rFonts w:hint="eastAsia" w:ascii="宋体" w:hAnsi="宋体"/>
                <w:sz w:val="24"/>
              </w:rPr>
              <w:t>湖南公众会计师事务所</w:t>
            </w:r>
          </w:p>
        </w:tc>
        <w:tc>
          <w:tcPr>
            <w:tcW w:w="1419" w:type="dxa"/>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jc w:val="center"/>
        </w:trPr>
        <w:tc>
          <w:tcPr>
            <w:tcW w:w="1761" w:type="dxa"/>
            <w:noWrap/>
            <w:vAlign w:val="center"/>
          </w:tcPr>
          <w:p>
            <w:pPr>
              <w:jc w:val="center"/>
              <w:rPr>
                <w:rFonts w:ascii="宋体" w:hAnsi="宋体"/>
                <w:sz w:val="24"/>
              </w:rPr>
            </w:pPr>
            <w:r>
              <w:rPr>
                <w:rFonts w:hint="eastAsia" w:ascii="宋体" w:hAnsi="宋体"/>
                <w:sz w:val="24"/>
              </w:rPr>
              <w:t>陈燕</w:t>
            </w:r>
          </w:p>
        </w:tc>
        <w:tc>
          <w:tcPr>
            <w:tcW w:w="1276" w:type="dxa"/>
            <w:noWrap/>
            <w:vAlign w:val="center"/>
          </w:tcPr>
          <w:p>
            <w:pPr>
              <w:jc w:val="center"/>
              <w:rPr>
                <w:rFonts w:ascii="宋体" w:hAnsi="宋体"/>
                <w:sz w:val="24"/>
              </w:rPr>
            </w:pPr>
            <w:r>
              <w:rPr>
                <w:rFonts w:hint="eastAsia" w:ascii="宋体" w:hAnsi="宋体"/>
                <w:sz w:val="24"/>
              </w:rPr>
              <w:t>会计</w:t>
            </w:r>
          </w:p>
        </w:tc>
        <w:tc>
          <w:tcPr>
            <w:tcW w:w="1701" w:type="dxa"/>
            <w:gridSpan w:val="3"/>
            <w:noWrap/>
            <w:vAlign w:val="center"/>
          </w:tcPr>
          <w:p>
            <w:pPr>
              <w:jc w:val="center"/>
              <w:rPr>
                <w:rFonts w:ascii="宋体" w:hAnsi="宋体"/>
                <w:sz w:val="24"/>
              </w:rPr>
            </w:pPr>
            <w:r>
              <w:rPr>
                <w:rFonts w:hint="eastAsia" w:ascii="宋体" w:hAnsi="宋体"/>
                <w:sz w:val="24"/>
              </w:rPr>
              <w:t>会计师</w:t>
            </w:r>
          </w:p>
        </w:tc>
        <w:tc>
          <w:tcPr>
            <w:tcW w:w="2693" w:type="dxa"/>
            <w:gridSpan w:val="4"/>
            <w:noWrap/>
            <w:vAlign w:val="center"/>
          </w:tcPr>
          <w:p>
            <w:pPr>
              <w:jc w:val="center"/>
              <w:rPr>
                <w:rFonts w:ascii="宋体" w:hAnsi="宋体"/>
                <w:sz w:val="24"/>
              </w:rPr>
            </w:pPr>
            <w:r>
              <w:rPr>
                <w:rFonts w:hint="eastAsia" w:ascii="宋体" w:hAnsi="宋体"/>
                <w:sz w:val="24"/>
              </w:rPr>
              <w:t>湖南公众会计师事务所</w:t>
            </w:r>
          </w:p>
        </w:tc>
        <w:tc>
          <w:tcPr>
            <w:tcW w:w="1419" w:type="dxa"/>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1761" w:type="dxa"/>
            <w:noWrap/>
            <w:vAlign w:val="center"/>
          </w:tcPr>
          <w:p>
            <w:pPr>
              <w:jc w:val="center"/>
              <w:rPr>
                <w:rFonts w:ascii="宋体" w:hAnsi="宋体"/>
                <w:sz w:val="24"/>
              </w:rPr>
            </w:pPr>
            <w:r>
              <w:rPr>
                <w:rFonts w:hint="eastAsia" w:ascii="宋体" w:hAnsi="宋体"/>
                <w:sz w:val="24"/>
              </w:rPr>
              <w:t>何文莲</w:t>
            </w:r>
          </w:p>
        </w:tc>
        <w:tc>
          <w:tcPr>
            <w:tcW w:w="1276" w:type="dxa"/>
            <w:noWrap/>
            <w:vAlign w:val="center"/>
          </w:tcPr>
          <w:p>
            <w:pPr>
              <w:jc w:val="center"/>
              <w:rPr>
                <w:rFonts w:ascii="宋体" w:hAnsi="宋体"/>
                <w:sz w:val="24"/>
              </w:rPr>
            </w:pPr>
            <w:r>
              <w:rPr>
                <w:rFonts w:hint="eastAsia" w:ascii="宋体" w:hAnsi="宋体"/>
                <w:sz w:val="24"/>
              </w:rPr>
              <w:t>审计</w:t>
            </w:r>
          </w:p>
        </w:tc>
        <w:tc>
          <w:tcPr>
            <w:tcW w:w="1701" w:type="dxa"/>
            <w:gridSpan w:val="3"/>
            <w:noWrap/>
            <w:vAlign w:val="center"/>
          </w:tcPr>
          <w:p>
            <w:pPr>
              <w:jc w:val="center"/>
              <w:rPr>
                <w:rFonts w:ascii="宋体" w:hAnsi="宋体"/>
                <w:sz w:val="24"/>
              </w:rPr>
            </w:pPr>
            <w:r>
              <w:rPr>
                <w:rFonts w:hint="eastAsia" w:ascii="宋体" w:hAnsi="宋体"/>
                <w:sz w:val="24"/>
              </w:rPr>
              <w:t>会计师</w:t>
            </w:r>
          </w:p>
        </w:tc>
        <w:tc>
          <w:tcPr>
            <w:tcW w:w="2693" w:type="dxa"/>
            <w:gridSpan w:val="4"/>
            <w:noWrap/>
            <w:vAlign w:val="center"/>
          </w:tcPr>
          <w:p>
            <w:pPr>
              <w:jc w:val="center"/>
              <w:rPr>
                <w:rFonts w:ascii="宋体" w:hAnsi="宋体"/>
                <w:sz w:val="24"/>
              </w:rPr>
            </w:pPr>
            <w:r>
              <w:rPr>
                <w:rFonts w:hint="eastAsia" w:ascii="宋体" w:hAnsi="宋体"/>
                <w:sz w:val="24"/>
              </w:rPr>
              <w:t>湖南公众会计师事务所</w:t>
            </w:r>
          </w:p>
        </w:tc>
        <w:tc>
          <w:tcPr>
            <w:tcW w:w="1419" w:type="dxa"/>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1761" w:type="dxa"/>
            <w:noWrap/>
            <w:vAlign w:val="center"/>
          </w:tcPr>
          <w:p>
            <w:pPr>
              <w:jc w:val="center"/>
              <w:rPr>
                <w:rFonts w:ascii="宋体" w:hAnsi="宋体"/>
                <w:sz w:val="24"/>
              </w:rPr>
            </w:pPr>
            <w:r>
              <w:rPr>
                <w:rFonts w:hint="eastAsia" w:ascii="宋体" w:hAnsi="宋体"/>
                <w:sz w:val="24"/>
              </w:rPr>
              <w:t>黄芬</w:t>
            </w:r>
          </w:p>
        </w:tc>
        <w:tc>
          <w:tcPr>
            <w:tcW w:w="1276" w:type="dxa"/>
            <w:noWrap/>
            <w:vAlign w:val="center"/>
          </w:tcPr>
          <w:p>
            <w:pPr>
              <w:jc w:val="center"/>
              <w:rPr>
                <w:rFonts w:ascii="宋体" w:hAnsi="宋体"/>
                <w:sz w:val="24"/>
              </w:rPr>
            </w:pPr>
            <w:r>
              <w:rPr>
                <w:rFonts w:hint="eastAsia" w:ascii="宋体" w:hAnsi="宋体"/>
                <w:sz w:val="24"/>
              </w:rPr>
              <w:t>会计</w:t>
            </w:r>
          </w:p>
        </w:tc>
        <w:tc>
          <w:tcPr>
            <w:tcW w:w="1701" w:type="dxa"/>
            <w:gridSpan w:val="3"/>
            <w:noWrap/>
            <w:vAlign w:val="center"/>
          </w:tcPr>
          <w:p>
            <w:pPr>
              <w:jc w:val="center"/>
              <w:rPr>
                <w:rFonts w:ascii="宋体" w:hAnsi="宋体"/>
                <w:sz w:val="24"/>
              </w:rPr>
            </w:pPr>
            <w:r>
              <w:rPr>
                <w:rFonts w:hint="eastAsia" w:ascii="宋体" w:hAnsi="宋体"/>
                <w:sz w:val="24"/>
              </w:rPr>
              <w:t>会计师</w:t>
            </w:r>
          </w:p>
        </w:tc>
        <w:tc>
          <w:tcPr>
            <w:tcW w:w="2693" w:type="dxa"/>
            <w:gridSpan w:val="4"/>
            <w:noWrap/>
            <w:vAlign w:val="center"/>
          </w:tcPr>
          <w:p>
            <w:pPr>
              <w:jc w:val="center"/>
              <w:rPr>
                <w:rFonts w:ascii="宋体" w:hAnsi="宋体"/>
                <w:sz w:val="24"/>
              </w:rPr>
            </w:pPr>
            <w:r>
              <w:rPr>
                <w:rFonts w:hint="eastAsia" w:ascii="宋体" w:hAnsi="宋体"/>
                <w:sz w:val="24"/>
              </w:rPr>
              <w:t>湖南公众会计师事务所</w:t>
            </w:r>
          </w:p>
        </w:tc>
        <w:tc>
          <w:tcPr>
            <w:tcW w:w="1419" w:type="dxa"/>
            <w:noWrap/>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8" w:hRule="atLeast"/>
          <w:jc w:val="center"/>
        </w:trPr>
        <w:tc>
          <w:tcPr>
            <w:tcW w:w="3897" w:type="dxa"/>
            <w:gridSpan w:val="3"/>
            <w:noWrap/>
            <w:vAlign w:val="center"/>
          </w:tcPr>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 xml:space="preserve">中介机构负责人（签字）：   </w:t>
            </w: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ind w:firstLine="2160" w:firstLineChars="900"/>
              <w:rPr>
                <w:rFonts w:ascii="宋体" w:hAnsi="宋体"/>
                <w:sz w:val="24"/>
              </w:rPr>
            </w:pPr>
            <w:r>
              <w:rPr>
                <w:rFonts w:hint="eastAsia" w:ascii="宋体" w:hAnsi="宋体"/>
                <w:sz w:val="24"/>
              </w:rPr>
              <w:t>（公章）</w:t>
            </w:r>
          </w:p>
          <w:p>
            <w:pPr>
              <w:spacing w:line="360" w:lineRule="exact"/>
              <w:rPr>
                <w:rFonts w:ascii="宋体" w:hAnsi="宋体"/>
                <w:sz w:val="24"/>
              </w:rPr>
            </w:pPr>
            <w:r>
              <w:rPr>
                <w:rFonts w:hint="eastAsia" w:ascii="宋体" w:hAnsi="宋体"/>
                <w:sz w:val="24"/>
              </w:rPr>
              <w:t xml:space="preserve"> 2021 年 8月31日 </w:t>
            </w:r>
          </w:p>
        </w:tc>
        <w:tc>
          <w:tcPr>
            <w:tcW w:w="4953" w:type="dxa"/>
            <w:gridSpan w:val="7"/>
            <w:noWrap/>
            <w:vAlign w:val="center"/>
          </w:tcPr>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 xml:space="preserve">评价组负责人（签字）： </w:t>
            </w: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r>
              <w:rPr>
                <w:rFonts w:hint="eastAsia" w:ascii="宋体" w:hAnsi="宋体"/>
                <w:sz w:val="24"/>
              </w:rPr>
              <w:t xml:space="preserve">                  2021 年 8月31日</w:t>
            </w:r>
          </w:p>
        </w:tc>
      </w:tr>
    </w:tbl>
    <w:p/>
    <w:p/>
    <w:p>
      <w:pPr>
        <w:pStyle w:val="8"/>
        <w:tabs>
          <w:tab w:val="left" w:pos="3540"/>
          <w:tab w:val="center" w:pos="4423"/>
          <w:tab w:val="right" w:leader="dot" w:pos="8306"/>
          <w:tab w:val="clear" w:pos="8820"/>
        </w:tabs>
        <w:ind w:firstLine="2880" w:firstLineChars="1200"/>
        <w:jc w:val="left"/>
        <w:rPr>
          <w:rFonts w:ascii="宋体" w:hAnsi="宋体" w:cs="宋体"/>
          <w:b/>
          <w:sz w:val="30"/>
          <w:szCs w:val="30"/>
        </w:rPr>
      </w:pPr>
      <w:r>
        <w:rPr>
          <w:rFonts w:hint="eastAsia" w:ascii="宋体" w:hAnsi="宋体" w:cs="宋体"/>
          <w:sz w:val="24"/>
        </w:rPr>
        <w:fldChar w:fldCharType="begin"/>
      </w:r>
      <w:r>
        <w:rPr>
          <w:rFonts w:hint="eastAsia" w:ascii="宋体" w:hAnsi="宋体" w:cs="宋体"/>
          <w:sz w:val="24"/>
        </w:rPr>
        <w:instrText xml:space="preserve">TOC \o "1-2" \h \u </w:instrText>
      </w:r>
      <w:r>
        <w:rPr>
          <w:rFonts w:hint="eastAsia" w:ascii="宋体" w:hAnsi="宋体" w:cs="宋体"/>
          <w:sz w:val="24"/>
        </w:rPr>
        <w:fldChar w:fldCharType="separate"/>
      </w:r>
      <w:r>
        <w:rPr>
          <w:rFonts w:hint="eastAsia" w:ascii="宋体" w:hAnsi="宋体" w:cs="宋体"/>
          <w:b/>
          <w:sz w:val="30"/>
          <w:szCs w:val="30"/>
        </w:rPr>
        <w:t>目        录</w:t>
      </w:r>
    </w:p>
    <w:p>
      <w:pPr>
        <w:rPr>
          <w:rFonts w:ascii="宋体" w:hAnsi="宋体"/>
        </w:rPr>
      </w:pPr>
    </w:p>
    <w:p>
      <w:pPr>
        <w:pStyle w:val="8"/>
        <w:tabs>
          <w:tab w:val="right" w:leader="dot" w:pos="8306"/>
          <w:tab w:val="clear" w:pos="8820"/>
        </w:tabs>
        <w:spacing w:line="380" w:lineRule="exact"/>
        <w:rPr>
          <w:rFonts w:ascii="宋体" w:hAnsi="宋体" w:cs="宋体"/>
          <w:sz w:val="24"/>
        </w:rPr>
      </w:pPr>
      <w:r>
        <w:fldChar w:fldCharType="begin"/>
      </w:r>
      <w:r>
        <w:instrText xml:space="preserve"> HYPERLINK \l "_Toc21940" </w:instrText>
      </w:r>
      <w:r>
        <w:fldChar w:fldCharType="separate"/>
      </w:r>
      <w:r>
        <w:rPr>
          <w:rFonts w:hint="eastAsia" w:ascii="宋体" w:hAnsi="宋体" w:cs="宋体"/>
          <w:sz w:val="24"/>
        </w:rPr>
        <w:t>一、项目基本情况</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rPr>
        <w:t>5</w:t>
      </w:r>
    </w:p>
    <w:p>
      <w:pPr>
        <w:pStyle w:val="9"/>
        <w:tabs>
          <w:tab w:val="right" w:leader="dot" w:pos="8306"/>
        </w:tabs>
        <w:spacing w:line="380" w:lineRule="exact"/>
        <w:ind w:firstLine="420" w:firstLineChars="200"/>
        <w:rPr>
          <w:rFonts w:ascii="宋体" w:hAnsi="宋体" w:cs="宋体"/>
          <w:sz w:val="24"/>
        </w:rPr>
      </w:pPr>
      <w:r>
        <w:fldChar w:fldCharType="begin"/>
      </w:r>
      <w:r>
        <w:instrText xml:space="preserve"> HYPERLINK \l "_Toc13365" </w:instrText>
      </w:r>
      <w:r>
        <w:fldChar w:fldCharType="separate"/>
      </w:r>
      <w:r>
        <w:rPr>
          <w:rFonts w:hint="eastAsia" w:ascii="宋体" w:hAnsi="宋体" w:cs="宋体"/>
          <w:sz w:val="24"/>
        </w:rPr>
        <w:t>（一）项目单位概况</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rPr>
        <w:t>5</w:t>
      </w:r>
    </w:p>
    <w:p>
      <w:pPr>
        <w:pStyle w:val="9"/>
        <w:tabs>
          <w:tab w:val="right" w:leader="dot" w:pos="8306"/>
        </w:tabs>
        <w:spacing w:line="380" w:lineRule="exact"/>
        <w:ind w:firstLine="420" w:firstLineChars="200"/>
        <w:rPr>
          <w:rFonts w:ascii="宋体" w:hAnsi="宋体" w:cs="宋体"/>
          <w:sz w:val="24"/>
        </w:rPr>
      </w:pPr>
      <w:r>
        <w:fldChar w:fldCharType="begin"/>
      </w:r>
      <w:r>
        <w:instrText xml:space="preserve"> HYPERLINK \l "_Toc8084" </w:instrText>
      </w:r>
      <w:r>
        <w:fldChar w:fldCharType="separate"/>
      </w:r>
      <w:r>
        <w:rPr>
          <w:rFonts w:hint="eastAsia" w:ascii="宋体" w:hAnsi="宋体" w:cs="宋体"/>
          <w:sz w:val="24"/>
        </w:rPr>
        <w:t>（二）项目概况</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rPr>
        <w:t>6</w:t>
      </w:r>
    </w:p>
    <w:p>
      <w:pPr>
        <w:pStyle w:val="9"/>
        <w:tabs>
          <w:tab w:val="right" w:leader="dot" w:pos="8306"/>
        </w:tabs>
        <w:spacing w:line="380" w:lineRule="exact"/>
        <w:ind w:firstLine="420" w:firstLineChars="200"/>
        <w:rPr>
          <w:rFonts w:ascii="宋体" w:hAnsi="宋体" w:cs="宋体"/>
          <w:sz w:val="24"/>
        </w:rPr>
      </w:pPr>
      <w:r>
        <w:fldChar w:fldCharType="begin"/>
      </w:r>
      <w:r>
        <w:instrText xml:space="preserve"> HYPERLINK \l "_Toc7555" </w:instrText>
      </w:r>
      <w:r>
        <w:fldChar w:fldCharType="separate"/>
      </w:r>
      <w:r>
        <w:rPr>
          <w:rFonts w:hint="eastAsia" w:ascii="宋体" w:hAnsi="宋体" w:cs="宋体"/>
          <w:sz w:val="24"/>
        </w:rPr>
        <w:t>（三）项目绩效目标</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rPr>
        <w:t>7</w:t>
      </w:r>
    </w:p>
    <w:p>
      <w:pPr>
        <w:pStyle w:val="9"/>
        <w:tabs>
          <w:tab w:val="right" w:leader="dot" w:pos="8306"/>
        </w:tabs>
        <w:spacing w:line="380" w:lineRule="exact"/>
        <w:ind w:firstLine="105" w:firstLineChars="50"/>
        <w:rPr>
          <w:rFonts w:ascii="宋体" w:hAnsi="宋体" w:cs="宋体"/>
          <w:sz w:val="24"/>
        </w:rPr>
      </w:pPr>
      <w:r>
        <w:fldChar w:fldCharType="begin"/>
      </w:r>
      <w:r>
        <w:instrText xml:space="preserve"> HYPERLINK \l "_Toc28742" </w:instrText>
      </w:r>
      <w:r>
        <w:fldChar w:fldCharType="separate"/>
      </w:r>
      <w:r>
        <w:rPr>
          <w:rFonts w:hint="eastAsia" w:ascii="宋体" w:hAnsi="宋体" w:cs="宋体"/>
          <w:sz w:val="24"/>
        </w:rPr>
        <w:t>二、绩效评价工作情况</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rPr>
        <w:t>7</w:t>
      </w:r>
    </w:p>
    <w:p>
      <w:pPr>
        <w:pStyle w:val="9"/>
        <w:tabs>
          <w:tab w:val="right" w:leader="dot" w:pos="8306"/>
        </w:tabs>
        <w:spacing w:line="380" w:lineRule="exact"/>
        <w:ind w:firstLine="420" w:firstLineChars="200"/>
        <w:rPr>
          <w:rFonts w:ascii="宋体" w:hAnsi="宋体" w:cs="宋体"/>
          <w:sz w:val="24"/>
        </w:rPr>
      </w:pPr>
      <w:r>
        <w:fldChar w:fldCharType="begin"/>
      </w:r>
      <w:r>
        <w:instrText xml:space="preserve"> HYPERLINK \l "_Toc32549" </w:instrText>
      </w:r>
      <w:r>
        <w:fldChar w:fldCharType="separate"/>
      </w:r>
      <w:r>
        <w:rPr>
          <w:rFonts w:hint="eastAsia" w:ascii="宋体" w:hAnsi="宋体" w:cs="宋体"/>
          <w:sz w:val="24"/>
        </w:rPr>
        <w:t>（一）绩效评价目的</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rPr>
        <w:t>7</w:t>
      </w:r>
    </w:p>
    <w:p>
      <w:pPr>
        <w:pStyle w:val="9"/>
        <w:tabs>
          <w:tab w:val="right" w:leader="dot" w:pos="8306"/>
        </w:tabs>
        <w:spacing w:line="380" w:lineRule="exact"/>
        <w:ind w:firstLine="420" w:firstLineChars="200"/>
        <w:rPr>
          <w:rFonts w:ascii="宋体" w:hAnsi="宋体" w:cs="宋体"/>
          <w:sz w:val="24"/>
        </w:rPr>
      </w:pPr>
      <w:r>
        <w:fldChar w:fldCharType="begin"/>
      </w:r>
      <w:r>
        <w:instrText xml:space="preserve"> HYPERLINK \l "_Toc32549" </w:instrText>
      </w:r>
      <w:r>
        <w:fldChar w:fldCharType="separate"/>
      </w:r>
      <w:r>
        <w:rPr>
          <w:rFonts w:hint="eastAsia" w:ascii="宋体" w:hAnsi="宋体" w:cs="宋体"/>
          <w:sz w:val="24"/>
        </w:rPr>
        <w:t>（二）绩效评价依据</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rPr>
        <w:t>7</w:t>
      </w:r>
    </w:p>
    <w:p>
      <w:pPr>
        <w:pStyle w:val="9"/>
        <w:tabs>
          <w:tab w:val="right" w:leader="dot" w:pos="8306"/>
        </w:tabs>
        <w:spacing w:line="380" w:lineRule="exact"/>
        <w:ind w:firstLine="420" w:firstLineChars="200"/>
        <w:rPr>
          <w:rFonts w:ascii="宋体" w:hAnsi="宋体" w:cs="宋体"/>
          <w:sz w:val="24"/>
        </w:rPr>
      </w:pPr>
      <w:r>
        <w:fldChar w:fldCharType="begin"/>
      </w:r>
      <w:r>
        <w:instrText xml:space="preserve"> HYPERLINK \l "_Toc31171" </w:instrText>
      </w:r>
      <w:r>
        <w:fldChar w:fldCharType="separate"/>
      </w:r>
      <w:r>
        <w:rPr>
          <w:rFonts w:hint="eastAsia" w:ascii="宋体" w:hAnsi="宋体" w:cs="宋体"/>
          <w:sz w:val="24"/>
        </w:rPr>
        <w:t>（三）绩效评价原则、评价指标体系、评价方法</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rPr>
        <w:t>8</w:t>
      </w:r>
    </w:p>
    <w:p>
      <w:pPr>
        <w:pStyle w:val="9"/>
        <w:tabs>
          <w:tab w:val="right" w:leader="dot" w:pos="8306"/>
        </w:tabs>
        <w:spacing w:line="380" w:lineRule="exact"/>
        <w:ind w:firstLine="420" w:firstLineChars="200"/>
        <w:rPr>
          <w:rFonts w:ascii="宋体" w:hAnsi="宋体" w:cs="宋体"/>
          <w:sz w:val="24"/>
        </w:rPr>
      </w:pPr>
      <w:r>
        <w:fldChar w:fldCharType="begin"/>
      </w:r>
      <w:r>
        <w:instrText xml:space="preserve"> HYPERLINK \l "_Toc7724" </w:instrText>
      </w:r>
      <w:r>
        <w:fldChar w:fldCharType="separate"/>
      </w:r>
      <w:r>
        <w:rPr>
          <w:rFonts w:hint="eastAsia" w:ascii="宋体" w:hAnsi="宋体" w:cs="宋体"/>
          <w:sz w:val="24"/>
        </w:rPr>
        <w:t>（四）绩效评价工作过程</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rPr>
        <w:t>9</w:t>
      </w:r>
    </w:p>
    <w:p>
      <w:pPr>
        <w:pStyle w:val="9"/>
        <w:tabs>
          <w:tab w:val="right" w:leader="dot" w:pos="8306"/>
        </w:tabs>
        <w:spacing w:line="380" w:lineRule="exact"/>
        <w:ind w:firstLine="105" w:firstLineChars="50"/>
        <w:rPr>
          <w:rFonts w:ascii="宋体" w:hAnsi="宋体" w:cs="宋体"/>
          <w:sz w:val="24"/>
        </w:rPr>
      </w:pPr>
      <w:r>
        <w:fldChar w:fldCharType="begin"/>
      </w:r>
      <w:r>
        <w:instrText xml:space="preserve"> HYPERLINK \l "_Toc5719" </w:instrText>
      </w:r>
      <w:r>
        <w:fldChar w:fldCharType="separate"/>
      </w:r>
      <w:r>
        <w:rPr>
          <w:rFonts w:hint="eastAsia" w:ascii="宋体" w:hAnsi="宋体" w:cs="宋体"/>
          <w:sz w:val="24"/>
        </w:rPr>
        <w:t>三、绩效评价指标分析</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rPr>
        <w:t>9</w:t>
      </w:r>
    </w:p>
    <w:p>
      <w:pPr>
        <w:pStyle w:val="9"/>
        <w:tabs>
          <w:tab w:val="right" w:leader="dot" w:pos="8306"/>
        </w:tabs>
        <w:spacing w:line="380" w:lineRule="exact"/>
        <w:ind w:firstLine="420" w:firstLineChars="200"/>
        <w:rPr>
          <w:rFonts w:ascii="宋体" w:hAnsi="宋体" w:cs="宋体"/>
          <w:sz w:val="24"/>
        </w:rPr>
      </w:pPr>
      <w:r>
        <w:fldChar w:fldCharType="begin"/>
      </w:r>
      <w:r>
        <w:instrText xml:space="preserve"> HYPERLINK \l "_Toc22288" </w:instrText>
      </w:r>
      <w:r>
        <w:fldChar w:fldCharType="separate"/>
      </w:r>
      <w:r>
        <w:rPr>
          <w:rFonts w:hint="eastAsia" w:ascii="宋体" w:hAnsi="宋体" w:cs="宋体"/>
          <w:sz w:val="24"/>
        </w:rPr>
        <w:t>（一）项目资金情况分析</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rPr>
        <w:t>10</w:t>
      </w:r>
    </w:p>
    <w:p>
      <w:pPr>
        <w:pStyle w:val="9"/>
        <w:tabs>
          <w:tab w:val="right" w:leader="dot" w:pos="8306"/>
        </w:tabs>
        <w:spacing w:line="380" w:lineRule="exact"/>
        <w:ind w:firstLine="420" w:firstLineChars="200"/>
        <w:rPr>
          <w:rFonts w:ascii="宋体" w:hAnsi="宋体" w:cs="宋体"/>
          <w:sz w:val="24"/>
        </w:rPr>
      </w:pPr>
      <w:r>
        <w:fldChar w:fldCharType="begin"/>
      </w:r>
      <w:r>
        <w:instrText xml:space="preserve"> HYPERLINK \l "_Toc19690" </w:instrText>
      </w:r>
      <w:r>
        <w:fldChar w:fldCharType="separate"/>
      </w:r>
      <w:r>
        <w:rPr>
          <w:rFonts w:hint="eastAsia" w:ascii="宋体" w:hAnsi="宋体" w:cs="宋体"/>
          <w:sz w:val="24"/>
        </w:rPr>
        <w:t>（二）项目实施情况分析</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rPr>
        <w:t>10</w:t>
      </w:r>
    </w:p>
    <w:p>
      <w:pPr>
        <w:pStyle w:val="9"/>
        <w:tabs>
          <w:tab w:val="right" w:leader="dot" w:pos="8306"/>
        </w:tabs>
        <w:spacing w:line="380" w:lineRule="exact"/>
        <w:ind w:firstLine="420" w:firstLineChars="200"/>
        <w:rPr>
          <w:rFonts w:ascii="宋体" w:hAnsi="宋体" w:cs="宋体"/>
          <w:sz w:val="24"/>
        </w:rPr>
      </w:pPr>
      <w:r>
        <w:fldChar w:fldCharType="begin"/>
      </w:r>
      <w:r>
        <w:instrText xml:space="preserve"> HYPERLINK \l "_Toc26687" </w:instrText>
      </w:r>
      <w:r>
        <w:fldChar w:fldCharType="separate"/>
      </w:r>
      <w:r>
        <w:rPr>
          <w:rFonts w:hint="eastAsia" w:ascii="宋体" w:hAnsi="宋体" w:cs="宋体"/>
          <w:sz w:val="24"/>
        </w:rPr>
        <w:t>（三）项目绩效情况分析</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rPr>
        <w:t>11</w:t>
      </w:r>
    </w:p>
    <w:p>
      <w:pPr>
        <w:pStyle w:val="9"/>
        <w:tabs>
          <w:tab w:val="right" w:leader="dot" w:pos="8306"/>
        </w:tabs>
        <w:spacing w:line="380" w:lineRule="exact"/>
        <w:ind w:firstLine="105" w:firstLineChars="50"/>
        <w:rPr>
          <w:rFonts w:ascii="宋体" w:hAnsi="宋体" w:cs="宋体"/>
          <w:sz w:val="24"/>
        </w:rPr>
      </w:pPr>
      <w:r>
        <w:fldChar w:fldCharType="begin"/>
      </w:r>
      <w:r>
        <w:instrText xml:space="preserve"> HYPERLINK \l "_Toc28872" </w:instrText>
      </w:r>
      <w:r>
        <w:fldChar w:fldCharType="separate"/>
      </w:r>
      <w:r>
        <w:rPr>
          <w:rFonts w:hint="eastAsia" w:ascii="宋体" w:hAnsi="宋体" w:cs="宋体"/>
          <w:sz w:val="24"/>
        </w:rPr>
        <w:t>四、综合评价结论</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rPr>
        <w:t>11</w:t>
      </w:r>
    </w:p>
    <w:p>
      <w:pPr>
        <w:pStyle w:val="9"/>
        <w:tabs>
          <w:tab w:val="right" w:leader="dot" w:pos="8306"/>
        </w:tabs>
        <w:spacing w:line="380" w:lineRule="exact"/>
        <w:ind w:firstLine="105" w:firstLineChars="50"/>
        <w:rPr>
          <w:rFonts w:ascii="宋体" w:hAnsi="宋体" w:cs="宋体"/>
          <w:sz w:val="24"/>
        </w:rPr>
      </w:pPr>
      <w:r>
        <w:fldChar w:fldCharType="begin"/>
      </w:r>
      <w:r>
        <w:instrText xml:space="preserve"> HYPERLINK \l "_Toc24297" </w:instrText>
      </w:r>
      <w:r>
        <w:fldChar w:fldCharType="separate"/>
      </w:r>
      <w:r>
        <w:rPr>
          <w:rFonts w:hint="eastAsia" w:ascii="宋体" w:hAnsi="宋体" w:cs="宋体"/>
          <w:sz w:val="24"/>
        </w:rPr>
        <w:t>五、存在的问题</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rPr>
        <w:t>12</w:t>
      </w:r>
    </w:p>
    <w:p>
      <w:pPr>
        <w:pStyle w:val="9"/>
        <w:tabs>
          <w:tab w:val="right" w:leader="dot" w:pos="8306"/>
        </w:tabs>
        <w:spacing w:line="380" w:lineRule="exact"/>
        <w:ind w:firstLine="105" w:firstLineChars="50"/>
        <w:rPr>
          <w:rFonts w:ascii="宋体" w:hAnsi="宋体" w:cs="宋体"/>
          <w:sz w:val="24"/>
        </w:rPr>
      </w:pPr>
      <w:r>
        <w:fldChar w:fldCharType="begin"/>
      </w:r>
      <w:r>
        <w:instrText xml:space="preserve"> HYPERLINK \l "_Toc3761" </w:instrText>
      </w:r>
      <w:r>
        <w:fldChar w:fldCharType="separate"/>
      </w:r>
      <w:r>
        <w:rPr>
          <w:rFonts w:hint="eastAsia" w:ascii="宋体" w:hAnsi="宋体"/>
          <w:sz w:val="24"/>
        </w:rPr>
        <w:t>六</w:t>
      </w:r>
      <w:r>
        <w:rPr>
          <w:rFonts w:hint="eastAsia" w:ascii="宋体" w:hAnsi="宋体"/>
        </w:rPr>
        <w:t>、</w:t>
      </w:r>
      <w:r>
        <w:rPr>
          <w:rFonts w:hint="eastAsia" w:ascii="宋体" w:hAnsi="宋体"/>
        </w:rPr>
        <w:fldChar w:fldCharType="end"/>
      </w:r>
      <w:r>
        <w:rPr>
          <w:rFonts w:hint="eastAsia" w:ascii="宋体" w:hAnsi="宋体" w:cs="宋体"/>
          <w:sz w:val="24"/>
        </w:rPr>
        <w:t>13</w:t>
      </w:r>
    </w:p>
    <w:p>
      <w:pPr>
        <w:pStyle w:val="9"/>
        <w:tabs>
          <w:tab w:val="right" w:leader="dot" w:pos="8306"/>
        </w:tabs>
        <w:spacing w:line="380" w:lineRule="exact"/>
        <w:ind w:firstLine="120" w:firstLineChars="50"/>
        <w:rPr>
          <w:rFonts w:ascii="宋体" w:hAnsi="宋体" w:cs="宋体"/>
          <w:sz w:val="24"/>
        </w:rPr>
      </w:pPr>
      <w:r>
        <w:rPr>
          <w:rFonts w:hint="eastAsia" w:ascii="宋体" w:hAnsi="宋体" w:cs="宋体"/>
          <w:sz w:val="24"/>
        </w:rPr>
        <w:t>七、</w:t>
      </w:r>
      <w:r>
        <w:fldChar w:fldCharType="begin"/>
      </w:r>
      <w:r>
        <w:instrText xml:space="preserve"> HYPERLINK \l "_Toc26143" </w:instrText>
      </w:r>
      <w:r>
        <w:fldChar w:fldCharType="separate"/>
      </w:r>
      <w:r>
        <w:rPr>
          <w:rFonts w:hint="eastAsia" w:ascii="宋体" w:hAnsi="宋体" w:cs="宋体"/>
          <w:bCs/>
          <w:sz w:val="24"/>
        </w:rPr>
        <w:t>附件</w:t>
      </w:r>
      <w:r>
        <w:rPr>
          <w:rFonts w:hint="eastAsia" w:ascii="宋体" w:hAnsi="宋体" w:cs="宋体"/>
          <w:sz w:val="24"/>
        </w:rPr>
        <w:tab/>
      </w:r>
      <w:r>
        <w:rPr>
          <w:rFonts w:hint="eastAsia" w:ascii="宋体" w:hAnsi="宋体" w:cs="宋体"/>
          <w:sz w:val="24"/>
        </w:rPr>
        <w:fldChar w:fldCharType="end"/>
      </w:r>
      <w:r>
        <w:rPr>
          <w:rFonts w:hint="eastAsia" w:ascii="宋体" w:hAnsi="宋体" w:cs="宋体"/>
          <w:sz w:val="24"/>
        </w:rPr>
        <w:t>13</w:t>
      </w:r>
      <w:r>
        <w:rPr>
          <w:rFonts w:hint="eastAsia" w:ascii="宋体" w:hAnsi="宋体" w:cs="宋体"/>
          <w:sz w:val="24"/>
        </w:rPr>
        <w:fldChar w:fldCharType="end"/>
      </w:r>
    </w:p>
    <w:p>
      <w:pPr>
        <w:spacing w:line="360" w:lineRule="auto"/>
        <w:jc w:val="center"/>
        <w:rPr>
          <w:rFonts w:ascii="宋体" w:hAnsi="宋体" w:cs="宋体"/>
          <w:b/>
          <w:sz w:val="44"/>
          <w:szCs w:val="44"/>
        </w:rPr>
      </w:pPr>
      <w:bookmarkStart w:id="0" w:name="_Toc25469_WPSOffice_Level1"/>
      <w:bookmarkStart w:id="1" w:name="_Toc5306_WPSOffice_Level1"/>
      <w:bookmarkStart w:id="2" w:name="_Toc2210_WPSOffice_Level1"/>
    </w:p>
    <w:p>
      <w:pPr>
        <w:spacing w:line="360" w:lineRule="auto"/>
        <w:rPr>
          <w:rFonts w:ascii="宋体" w:hAnsi="宋体" w:cs="宋体"/>
          <w:b/>
          <w:sz w:val="44"/>
          <w:szCs w:val="44"/>
        </w:rPr>
      </w:pPr>
    </w:p>
    <w:p>
      <w:pPr>
        <w:spacing w:line="360" w:lineRule="auto"/>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bookmarkEnd w:id="0"/>
    <w:bookmarkEnd w:id="1"/>
    <w:bookmarkEnd w:id="2"/>
    <w:p>
      <w:pPr>
        <w:jc w:val="center"/>
        <w:rPr>
          <w:b/>
          <w:sz w:val="36"/>
          <w:szCs w:val="36"/>
        </w:rPr>
      </w:pPr>
      <w:r>
        <w:rPr>
          <w:rFonts w:hint="eastAsia"/>
          <w:b/>
          <w:sz w:val="36"/>
          <w:szCs w:val="36"/>
        </w:rPr>
        <w:t>岳阳市云溪区云溪街道办事处</w:t>
      </w:r>
    </w:p>
    <w:p>
      <w:pPr>
        <w:jc w:val="center"/>
        <w:rPr>
          <w:b/>
          <w:sz w:val="36"/>
          <w:szCs w:val="36"/>
        </w:rPr>
      </w:pPr>
      <w:r>
        <w:rPr>
          <w:rFonts w:hint="eastAsia"/>
          <w:b/>
          <w:sz w:val="36"/>
          <w:szCs w:val="36"/>
        </w:rPr>
        <w:t>清溪村、双花村联村安全饮水巩固提升项目</w:t>
      </w:r>
    </w:p>
    <w:p>
      <w:pPr>
        <w:jc w:val="center"/>
        <w:rPr>
          <w:b/>
          <w:sz w:val="36"/>
          <w:szCs w:val="36"/>
        </w:rPr>
      </w:pPr>
      <w:r>
        <w:rPr>
          <w:rFonts w:hint="eastAsia"/>
          <w:b/>
          <w:sz w:val="36"/>
          <w:szCs w:val="36"/>
        </w:rPr>
        <w:t>绩效评价报告</w:t>
      </w:r>
    </w:p>
    <w:p>
      <w:pPr>
        <w:jc w:val="center"/>
        <w:rPr>
          <w:b/>
          <w:sz w:val="36"/>
          <w:szCs w:val="36"/>
        </w:rPr>
      </w:pPr>
    </w:p>
    <w:p>
      <w:pPr>
        <w:spacing w:line="360" w:lineRule="auto"/>
        <w:rPr>
          <w:rFonts w:ascii="宋体" w:hAnsi="宋体" w:cs="宋体"/>
          <w:b/>
          <w:bCs/>
          <w:sz w:val="30"/>
          <w:szCs w:val="30"/>
        </w:rPr>
      </w:pPr>
      <w:r>
        <w:rPr>
          <w:rFonts w:hint="eastAsia" w:ascii="宋体" w:hAnsi="宋体" w:cs="宋体"/>
          <w:b/>
          <w:bCs/>
          <w:sz w:val="28"/>
          <w:szCs w:val="28"/>
        </w:rPr>
        <w:t>云溪区财政局</w:t>
      </w:r>
      <w:r>
        <w:rPr>
          <w:rFonts w:hint="eastAsia" w:ascii="宋体" w:hAnsi="宋体" w:cs="宋体"/>
          <w:b/>
          <w:bCs/>
          <w:sz w:val="30"/>
          <w:szCs w:val="30"/>
        </w:rPr>
        <w:t>：</w:t>
      </w:r>
    </w:p>
    <w:p>
      <w:pPr>
        <w:spacing w:line="540" w:lineRule="exact"/>
        <w:ind w:firstLine="560" w:firstLineChars="200"/>
        <w:rPr>
          <w:rFonts w:ascii="宋体" w:hAnsi="宋体" w:cs="仿宋"/>
          <w:sz w:val="28"/>
          <w:szCs w:val="28"/>
        </w:rPr>
      </w:pPr>
      <w:r>
        <w:rPr>
          <w:rFonts w:hint="eastAsia" w:ascii="宋体" w:hAnsi="宋体" w:cs="仿宋"/>
          <w:sz w:val="28"/>
          <w:szCs w:val="28"/>
        </w:rPr>
        <w:t>为进一步规范财政资金管理，强化绩效理念，提高预算单位责任意识，切实提高资金使用效益，根据《岳阳市云溪区财政局全面开展2022年财政资金绩效评价工作的通知》（岳云财函[2022]1号）、云溪区财政局《绩效评价业务委托合同》及湖南省财政厅印发《湖南省预算支出绩效管理办法》等有关文件要求，湖南公众会计师事务所有限公司（以下简称：我所）接受贵局委托，对岳阳市云溪区云溪街道办事处（以下简称：云溪街道办）清溪村、双花村联村安全饮水巩固提升项目支出情况进行了绩效评价。</w:t>
      </w:r>
    </w:p>
    <w:p>
      <w:pPr>
        <w:spacing w:line="540" w:lineRule="exact"/>
        <w:ind w:firstLine="560" w:firstLineChars="200"/>
        <w:rPr>
          <w:rFonts w:ascii="宋体" w:hAnsi="宋体" w:cs="仿宋"/>
          <w:sz w:val="28"/>
          <w:szCs w:val="28"/>
        </w:rPr>
      </w:pPr>
      <w:r>
        <w:rPr>
          <w:rFonts w:hint="eastAsia" w:ascii="宋体" w:hAnsi="宋体" w:cs="仿宋"/>
          <w:sz w:val="28"/>
          <w:szCs w:val="28"/>
        </w:rPr>
        <w:t>云溪街道办应当对其所提供的与绩效评价相关的财务资料和其他证明材料的真实性、合法性和完整性负责。在评价过程中，我所结合被评价单位具体情况及委托要求，对清溪村、双花村联村安全饮水巩固提升项目支出实施重点绩效评价，现将有关情况报告如下：</w:t>
      </w:r>
    </w:p>
    <w:p>
      <w:pPr>
        <w:pStyle w:val="10"/>
        <w:widowControl/>
        <w:spacing w:line="540" w:lineRule="exact"/>
        <w:ind w:firstLine="562" w:firstLineChars="200"/>
        <w:rPr>
          <w:rStyle w:val="14"/>
          <w:rFonts w:ascii="宋体" w:hAnsi="宋体" w:cs="仿宋"/>
          <w:sz w:val="28"/>
          <w:szCs w:val="28"/>
        </w:rPr>
      </w:pPr>
      <w:bookmarkStart w:id="3" w:name="_Toc1664_WPSOffice_Level1"/>
      <w:bookmarkStart w:id="4" w:name="_Toc17357_WPSOffice_Level1"/>
      <w:bookmarkStart w:id="5" w:name="_Toc12032_WPSOffice_Level1"/>
      <w:bookmarkStart w:id="6" w:name="_Toc9021"/>
      <w:bookmarkStart w:id="7" w:name="_Toc21940"/>
      <w:bookmarkStart w:id="8" w:name="_Toc28578"/>
      <w:bookmarkStart w:id="9" w:name="_Toc24614"/>
      <w:r>
        <w:rPr>
          <w:rStyle w:val="14"/>
          <w:rFonts w:hint="eastAsia" w:ascii="宋体" w:hAnsi="宋体" w:cs="仿宋"/>
          <w:sz w:val="28"/>
          <w:szCs w:val="28"/>
        </w:rPr>
        <w:t>一、项目基本情况</w:t>
      </w:r>
      <w:bookmarkEnd w:id="3"/>
      <w:bookmarkEnd w:id="4"/>
      <w:bookmarkEnd w:id="5"/>
    </w:p>
    <w:bookmarkEnd w:id="6"/>
    <w:bookmarkEnd w:id="7"/>
    <w:bookmarkEnd w:id="8"/>
    <w:bookmarkEnd w:id="9"/>
    <w:p>
      <w:pPr>
        <w:pStyle w:val="10"/>
        <w:widowControl/>
        <w:spacing w:line="540" w:lineRule="exact"/>
        <w:ind w:firstLine="562" w:firstLineChars="200"/>
        <w:rPr>
          <w:rStyle w:val="15"/>
          <w:rFonts w:ascii="宋体" w:hAnsi="宋体" w:eastAsia="宋体" w:cs="仿宋"/>
          <w:sz w:val="28"/>
          <w:szCs w:val="28"/>
        </w:rPr>
      </w:pPr>
      <w:bookmarkStart w:id="10" w:name="_Toc20201_WPSOffice_Level2"/>
      <w:bookmarkStart w:id="11" w:name="_Toc20388_WPSOffice_Level2"/>
      <w:bookmarkStart w:id="12" w:name="_Toc18024_WPSOffice_Level2"/>
      <w:bookmarkStart w:id="13" w:name="_Toc13933"/>
      <w:bookmarkStart w:id="14" w:name="_Toc13365"/>
      <w:bookmarkStart w:id="15" w:name="_Toc22207"/>
      <w:r>
        <w:rPr>
          <w:rStyle w:val="14"/>
          <w:rFonts w:hint="eastAsia" w:ascii="宋体" w:hAnsi="宋体" w:cs="仿宋"/>
          <w:sz w:val="28"/>
          <w:szCs w:val="28"/>
        </w:rPr>
        <w:t>（一）项目</w:t>
      </w:r>
      <w:bookmarkEnd w:id="10"/>
      <w:bookmarkEnd w:id="11"/>
      <w:bookmarkEnd w:id="12"/>
      <w:r>
        <w:rPr>
          <w:rStyle w:val="15"/>
          <w:rFonts w:hint="eastAsia" w:ascii="宋体" w:hAnsi="宋体" w:eastAsia="宋体" w:cs="仿宋"/>
          <w:sz w:val="28"/>
          <w:szCs w:val="28"/>
        </w:rPr>
        <w:t>概况</w:t>
      </w:r>
    </w:p>
    <w:bookmarkEnd w:id="13"/>
    <w:bookmarkEnd w:id="14"/>
    <w:bookmarkEnd w:id="15"/>
    <w:p>
      <w:pPr>
        <w:spacing w:line="540" w:lineRule="exact"/>
        <w:ind w:firstLine="560" w:firstLineChars="200"/>
        <w:rPr>
          <w:rFonts w:ascii="宋体" w:hAnsi="宋体"/>
          <w:color w:val="000000"/>
          <w:sz w:val="28"/>
          <w:szCs w:val="28"/>
        </w:rPr>
      </w:pPr>
      <w:bookmarkStart w:id="16" w:name="_Toc31717"/>
      <w:bookmarkStart w:id="17" w:name="_Toc12654_WPSOffice_Level2"/>
      <w:bookmarkStart w:id="18" w:name="_Toc8084"/>
      <w:bookmarkStart w:id="19" w:name="_Toc24584"/>
      <w:bookmarkStart w:id="20" w:name="_Toc20979_WPSOffice_Level2"/>
      <w:bookmarkStart w:id="21" w:name="_Toc9347_WPSOffice_Level2"/>
      <w:r>
        <w:rPr>
          <w:rFonts w:hint="eastAsia" w:ascii="宋体" w:hAnsi="宋体" w:cs="仿宋"/>
          <w:color w:val="000000"/>
          <w:sz w:val="28"/>
          <w:szCs w:val="28"/>
        </w:rPr>
        <w:t>农村安全饮水工程是党和政府关心民生的重大举措，是一项惠及农村广大群众的民生工程。</w:t>
      </w:r>
      <w:r>
        <w:rPr>
          <w:rFonts w:hint="eastAsia" w:ascii="宋体" w:hAnsi="宋体"/>
          <w:color w:val="000000"/>
          <w:sz w:val="28"/>
          <w:szCs w:val="28"/>
        </w:rPr>
        <w:t>双花、清溪村位于云溪街道办东南方，距城区10公里。双花村村民饮用双花水库原水，清溪村村民饮用单村工程供水，受季节性缺水影响，部分村民直接饮用未经处理的井水等地下水，水质不稳定，易影响村民身体健康。为保障农村饮水安全，切实解决双花、清溪村两村1823人饮水安全问题，根据2019年6月14日政府常务会会议精神，街道办计划实施双花、清溪两村农村饮水安全项目。2020年9月14日，街道办向区发改局提交《关于批准云溪区2020年村饮水安全项目云溪街道双花、清溪村供水水源替换供水水源替换工程项目立项的函》， 2019年9月30日区发改局通过《关于云溪区2020年农村饮水安全项目云溪街道双花、清溪村供水水源换供水水源替换工程项目可行性研究报告的批复》（岳云发改审</w:t>
      </w:r>
      <w:r>
        <w:rPr>
          <w:rFonts w:hint="eastAsia" w:ascii="Arial Narrow" w:hAnsi="Arial Narrow" w:cs="Arial" w:eastAsiaTheme="minorEastAsia"/>
          <w:bCs/>
          <w:sz w:val="28"/>
          <w:szCs w:val="28"/>
        </w:rPr>
        <w:t>[20</w:t>
      </w:r>
      <w:r>
        <w:rPr>
          <w:rFonts w:hint="eastAsia" w:ascii="Arial Narrow" w:hAnsi="Arial Narrow" w:cs="Arial"/>
          <w:bCs/>
          <w:sz w:val="28"/>
          <w:szCs w:val="28"/>
        </w:rPr>
        <w:t>20</w:t>
      </w:r>
      <w:r>
        <w:rPr>
          <w:rFonts w:hint="eastAsia" w:ascii="Arial Narrow" w:hAnsi="Arial Narrow" w:cs="Arial" w:eastAsiaTheme="minorEastAsia"/>
          <w:bCs/>
          <w:sz w:val="28"/>
          <w:szCs w:val="28"/>
        </w:rPr>
        <w:t>]</w:t>
      </w:r>
      <w:r>
        <w:rPr>
          <w:rFonts w:hint="eastAsia" w:ascii="Arial Narrow" w:hAnsi="Arial Narrow" w:cs="Arial"/>
          <w:bCs/>
          <w:sz w:val="28"/>
          <w:szCs w:val="28"/>
        </w:rPr>
        <w:t>123号</w:t>
      </w:r>
      <w:r>
        <w:rPr>
          <w:rFonts w:hint="eastAsia" w:ascii="宋体" w:hAnsi="宋体"/>
          <w:color w:val="000000"/>
          <w:sz w:val="28"/>
          <w:szCs w:val="28"/>
        </w:rPr>
        <w:t>），同意项目实施。项目工程采用城市管网延伸供水，</w:t>
      </w:r>
      <w:r>
        <w:rPr>
          <w:rFonts w:hint="eastAsia" w:asciiTheme="minorEastAsia" w:hAnsiTheme="minorEastAsia" w:eastAsiaTheme="minorEastAsia" w:cstheme="minorEastAsia"/>
          <w:sz w:val="28"/>
          <w:szCs w:val="28"/>
        </w:rPr>
        <w:t>供水范围涉及双花村7个组943人口以及清溪村10个组880人口。</w:t>
      </w:r>
      <w:r>
        <w:rPr>
          <w:rFonts w:hint="eastAsia" w:ascii="宋体" w:hAnsi="宋体"/>
          <w:color w:val="000000"/>
          <w:sz w:val="28"/>
          <w:szCs w:val="28"/>
        </w:rPr>
        <w:t>项目总投资364.56万元，其中乡村乡村振兴资金200万元，移民资金90万元，其余资金自筹。</w:t>
      </w:r>
    </w:p>
    <w:p>
      <w:pPr>
        <w:pStyle w:val="10"/>
        <w:widowControl/>
        <w:spacing w:line="540" w:lineRule="exact"/>
        <w:ind w:firstLine="562" w:firstLineChars="200"/>
        <w:jc w:val="both"/>
        <w:rPr>
          <w:rFonts w:ascii="宋体" w:hAnsi="宋体"/>
          <w:color w:val="000000"/>
          <w:sz w:val="28"/>
          <w:szCs w:val="28"/>
        </w:rPr>
      </w:pPr>
      <w:r>
        <w:rPr>
          <w:rStyle w:val="15"/>
          <w:rFonts w:hint="eastAsia" w:ascii="宋体" w:hAnsi="宋体" w:eastAsia="宋体" w:cs="仿宋_GB2312"/>
          <w:sz w:val="28"/>
          <w:szCs w:val="28"/>
        </w:rPr>
        <w:t>（二）项目绩效目标</w:t>
      </w:r>
    </w:p>
    <w:bookmarkEnd w:id="16"/>
    <w:bookmarkEnd w:id="17"/>
    <w:bookmarkEnd w:id="18"/>
    <w:bookmarkEnd w:id="19"/>
    <w:bookmarkEnd w:id="20"/>
    <w:bookmarkEnd w:id="21"/>
    <w:p>
      <w:pPr>
        <w:spacing w:line="540" w:lineRule="exact"/>
        <w:ind w:firstLine="560" w:firstLineChars="200"/>
        <w:rPr>
          <w:rFonts w:ascii="宋体" w:hAnsi="宋体"/>
          <w:color w:val="000000"/>
          <w:sz w:val="28"/>
          <w:szCs w:val="28"/>
        </w:rPr>
      </w:pPr>
      <w:bookmarkStart w:id="22" w:name="_Toc20893"/>
      <w:bookmarkStart w:id="23" w:name="_Toc5880_WPSOffice_Level1"/>
      <w:bookmarkStart w:id="24" w:name="_Toc26498_WPSOffice_Level1"/>
      <w:bookmarkStart w:id="25" w:name="_Toc28742"/>
      <w:bookmarkStart w:id="26" w:name="_Toc30930_WPSOffice_Level1"/>
      <w:bookmarkStart w:id="27" w:name="_Toc29446"/>
      <w:r>
        <w:rPr>
          <w:rFonts w:hint="eastAsia" w:ascii="宋体" w:hAnsi="宋体"/>
          <w:color w:val="000000"/>
          <w:sz w:val="28"/>
          <w:szCs w:val="28"/>
        </w:rPr>
        <w:t>采用城市管网延伸供水，完成22601米自来水管道铺设，供水范围涉及双花村7个组743人口及清溪村10个组880人口，解决双花、清溪17个组1823人饮水安全问题。</w:t>
      </w:r>
    </w:p>
    <w:p>
      <w:pPr>
        <w:pStyle w:val="10"/>
        <w:widowControl/>
        <w:spacing w:line="540" w:lineRule="exact"/>
        <w:ind w:firstLine="562" w:firstLineChars="200"/>
        <w:rPr>
          <w:rStyle w:val="15"/>
          <w:rFonts w:ascii="宋体" w:hAnsi="宋体" w:eastAsia="宋体"/>
          <w:sz w:val="28"/>
          <w:szCs w:val="28"/>
        </w:rPr>
      </w:pPr>
      <w:r>
        <w:rPr>
          <w:rStyle w:val="15"/>
          <w:rFonts w:hint="eastAsia" w:ascii="宋体" w:hAnsi="宋体" w:eastAsia="宋体"/>
          <w:sz w:val="28"/>
          <w:szCs w:val="28"/>
        </w:rPr>
        <w:t>二、绩效评价工作情况</w:t>
      </w:r>
      <w:bookmarkEnd w:id="22"/>
      <w:bookmarkEnd w:id="23"/>
      <w:bookmarkEnd w:id="24"/>
      <w:bookmarkEnd w:id="25"/>
      <w:bookmarkEnd w:id="26"/>
      <w:bookmarkEnd w:id="27"/>
      <w:bookmarkStart w:id="28" w:name="_Toc12299_WPSOffice_Level2"/>
      <w:bookmarkStart w:id="29" w:name="_Toc10974"/>
      <w:bookmarkStart w:id="30" w:name="_Toc32549"/>
      <w:bookmarkStart w:id="31" w:name="_Toc26956_WPSOffice_Level2"/>
      <w:bookmarkStart w:id="32" w:name="_Toc27027_WPSOffice_Level2"/>
      <w:bookmarkStart w:id="33" w:name="_Toc12789"/>
    </w:p>
    <w:p>
      <w:pPr>
        <w:pStyle w:val="10"/>
        <w:widowControl/>
        <w:spacing w:line="540" w:lineRule="exact"/>
        <w:ind w:firstLine="562" w:firstLineChars="200"/>
        <w:rPr>
          <w:rStyle w:val="15"/>
          <w:rFonts w:ascii="宋体" w:hAnsi="宋体" w:eastAsia="宋体" w:cs="仿宋_GB2312"/>
          <w:kern w:val="44"/>
          <w:sz w:val="28"/>
          <w:szCs w:val="28"/>
        </w:rPr>
      </w:pPr>
      <w:r>
        <w:rPr>
          <w:rStyle w:val="15"/>
          <w:rFonts w:hint="eastAsia" w:ascii="宋体" w:hAnsi="宋体" w:eastAsia="宋体" w:cs="仿宋_GB2312"/>
          <w:sz w:val="28"/>
          <w:szCs w:val="28"/>
        </w:rPr>
        <w:t>（一）绩效评价目的</w:t>
      </w:r>
      <w:bookmarkEnd w:id="28"/>
      <w:bookmarkEnd w:id="29"/>
      <w:bookmarkEnd w:id="30"/>
      <w:bookmarkEnd w:id="31"/>
      <w:bookmarkEnd w:id="32"/>
      <w:bookmarkEnd w:id="33"/>
    </w:p>
    <w:p>
      <w:pPr>
        <w:pStyle w:val="2"/>
        <w:spacing w:line="540" w:lineRule="exact"/>
        <w:ind w:firstLine="560"/>
        <w:rPr>
          <w:rFonts w:ascii="Arial Narrow" w:hAnsi="Arial Narrow" w:cs="Arial" w:eastAsiaTheme="minorEastAsia"/>
          <w:bCs/>
          <w:color w:val="auto"/>
          <w:szCs w:val="28"/>
        </w:rPr>
      </w:pPr>
      <w:r>
        <w:rPr>
          <w:rFonts w:hint="eastAsia" w:ascii="Arial Narrow" w:hAnsi="Arial Narrow" w:cs="Arial" w:eastAsiaTheme="minorEastAsia"/>
          <w:bCs/>
          <w:color w:val="auto"/>
          <w:szCs w:val="28"/>
        </w:rPr>
        <w:t>针对清溪村、双花村联村安全饮水巩固提升项目，从项目执行过程中的投入建设、管理制度建设、资金使用规范性、项目资金的使用和产出效果等多个方面，全面评价项目绩效状况。主要目的包括两点：一是通过计算、分析有关项目投入、项目过程、项目产出、项目效果涉及的各项指标，客观公正地反映清溪村、双花村联村安全饮水巩固提升项目资金实际使用和产生的绩效状况，为今后该项目实施方向及管理方式的改进提供指导，逐步树立以结果为导向的预算观。二是针对项目执行过程中存在的问题及不足，提出针对性的改进意见，以促进项目单位的项目管理水平，提升政策实施效果和财政资金的使用效益，为下一步的预算资金安排和完善提供参考。</w:t>
      </w:r>
    </w:p>
    <w:p>
      <w:pPr>
        <w:spacing w:line="540" w:lineRule="exact"/>
        <w:ind w:firstLine="562" w:firstLineChars="200"/>
        <w:rPr>
          <w:rFonts w:ascii="宋体" w:hAnsi="宋体" w:cs="仿宋"/>
          <w:sz w:val="28"/>
          <w:szCs w:val="28"/>
        </w:rPr>
      </w:pPr>
      <w:r>
        <w:rPr>
          <w:rStyle w:val="15"/>
          <w:rFonts w:hint="eastAsia" w:ascii="宋体" w:hAnsi="宋体" w:eastAsia="宋体" w:cs="仿宋"/>
          <w:sz w:val="28"/>
          <w:szCs w:val="28"/>
        </w:rPr>
        <w:t>（二）绩效评价依据</w:t>
      </w:r>
    </w:p>
    <w:p>
      <w:pPr>
        <w:spacing w:line="540" w:lineRule="exact"/>
        <w:ind w:firstLine="560" w:firstLineChars="200"/>
        <w:rPr>
          <w:rFonts w:ascii="宋体" w:hAnsi="宋体" w:cs="仿宋"/>
          <w:color w:val="000000"/>
          <w:sz w:val="28"/>
          <w:szCs w:val="28"/>
        </w:rPr>
      </w:pPr>
      <w:r>
        <w:rPr>
          <w:rFonts w:hint="eastAsia" w:ascii="宋体" w:hAnsi="宋体" w:cs="仿宋"/>
          <w:color w:val="000000"/>
          <w:sz w:val="28"/>
          <w:szCs w:val="28"/>
        </w:rPr>
        <w:t>1、《中华人民共和国预算法》</w:t>
      </w:r>
    </w:p>
    <w:p>
      <w:pPr>
        <w:spacing w:line="540" w:lineRule="exact"/>
        <w:ind w:firstLine="560" w:firstLineChars="200"/>
        <w:rPr>
          <w:rFonts w:ascii="宋体" w:hAnsi="宋体"/>
          <w:color w:val="000000"/>
          <w:sz w:val="28"/>
          <w:szCs w:val="28"/>
        </w:rPr>
      </w:pPr>
      <w:r>
        <w:rPr>
          <w:rFonts w:hint="eastAsia" w:ascii="宋体" w:hAnsi="宋体"/>
          <w:color w:val="000000"/>
          <w:sz w:val="28"/>
          <w:szCs w:val="28"/>
        </w:rPr>
        <w:t>2、岳阳市云溪区财政局《关于全面开展2022年财政资金绩效评价工作的通知》（岳云财函[2022]1号）</w:t>
      </w:r>
    </w:p>
    <w:p>
      <w:pPr>
        <w:spacing w:line="540" w:lineRule="exact"/>
        <w:ind w:firstLine="560" w:firstLineChars="200"/>
        <w:rPr>
          <w:rFonts w:ascii="宋体" w:hAnsi="宋体"/>
          <w:color w:val="000000"/>
          <w:sz w:val="28"/>
          <w:szCs w:val="28"/>
        </w:rPr>
      </w:pPr>
      <w:r>
        <w:rPr>
          <w:rFonts w:hint="eastAsia" w:ascii="宋体" w:hAnsi="宋体"/>
          <w:color w:val="000000"/>
          <w:sz w:val="28"/>
          <w:szCs w:val="28"/>
        </w:rPr>
        <w:t>3、岳阳市云溪区水利局文件《关于岳阳市云溪区云溪街道双花村清溪村供水水源替换工程实施方案的批复》（岳云水[2020]39号）</w:t>
      </w:r>
    </w:p>
    <w:p>
      <w:pPr>
        <w:spacing w:line="540" w:lineRule="exact"/>
        <w:ind w:firstLine="560" w:firstLineChars="200"/>
        <w:rPr>
          <w:rFonts w:ascii="宋体" w:hAnsi="宋体"/>
          <w:color w:val="000000"/>
          <w:sz w:val="28"/>
          <w:szCs w:val="28"/>
        </w:rPr>
      </w:pPr>
      <w:r>
        <w:rPr>
          <w:rFonts w:hint="eastAsia" w:ascii="宋体" w:hAnsi="宋体"/>
          <w:color w:val="000000"/>
          <w:sz w:val="28"/>
          <w:szCs w:val="28"/>
        </w:rPr>
        <w:t>4、岳阳市云溪区发展和改革局《关于云溪区2020年农村饮水安全项目云溪街道双花、清溪村供水水源替换工程项目可行性研究报告的批复》（岳云发改审[2020]123号）</w:t>
      </w:r>
    </w:p>
    <w:p>
      <w:pPr>
        <w:spacing w:line="540" w:lineRule="exact"/>
        <w:ind w:firstLine="560" w:firstLineChars="200"/>
        <w:rPr>
          <w:rFonts w:ascii="宋体" w:hAnsi="宋体"/>
          <w:color w:val="000000"/>
          <w:sz w:val="28"/>
          <w:szCs w:val="28"/>
        </w:rPr>
      </w:pPr>
      <w:r>
        <w:rPr>
          <w:rFonts w:hint="eastAsia" w:ascii="宋体" w:hAnsi="宋体"/>
          <w:color w:val="000000"/>
          <w:sz w:val="28"/>
          <w:szCs w:val="28"/>
        </w:rPr>
        <w:t>5、现行相关财务会计制度</w:t>
      </w:r>
    </w:p>
    <w:p>
      <w:pPr>
        <w:spacing w:line="540" w:lineRule="exact"/>
        <w:ind w:firstLine="560" w:firstLineChars="200"/>
        <w:rPr>
          <w:rFonts w:ascii="宋体" w:hAnsi="宋体"/>
          <w:color w:val="000000"/>
          <w:sz w:val="28"/>
          <w:szCs w:val="28"/>
        </w:rPr>
      </w:pPr>
      <w:r>
        <w:rPr>
          <w:rFonts w:hint="eastAsia" w:ascii="宋体" w:hAnsi="宋体"/>
          <w:color w:val="000000"/>
          <w:sz w:val="28"/>
          <w:szCs w:val="28"/>
        </w:rPr>
        <w:t>6、项目申报资料、</w:t>
      </w:r>
      <w:r>
        <w:rPr>
          <w:rFonts w:ascii="宋体" w:hAnsi="宋体"/>
          <w:color w:val="000000"/>
          <w:sz w:val="28"/>
          <w:szCs w:val="28"/>
        </w:rPr>
        <w:t>可研报告、立项批复、会议纪要</w:t>
      </w:r>
      <w:r>
        <w:rPr>
          <w:rFonts w:hint="eastAsia" w:ascii="宋体" w:hAnsi="宋体"/>
          <w:color w:val="000000"/>
          <w:sz w:val="28"/>
          <w:szCs w:val="28"/>
        </w:rPr>
        <w:t>和项目实施的有关材料等。</w:t>
      </w:r>
    </w:p>
    <w:p>
      <w:pPr>
        <w:pStyle w:val="10"/>
        <w:widowControl/>
        <w:spacing w:line="540" w:lineRule="exact"/>
        <w:ind w:firstLine="562" w:firstLineChars="200"/>
        <w:rPr>
          <w:rStyle w:val="15"/>
          <w:rFonts w:ascii="宋体" w:hAnsi="宋体" w:eastAsia="宋体" w:cs="仿宋_GB2312"/>
          <w:sz w:val="28"/>
          <w:szCs w:val="28"/>
        </w:rPr>
      </w:pPr>
      <w:bookmarkStart w:id="34" w:name="_Toc32720_WPSOffice_Level2"/>
      <w:bookmarkStart w:id="35" w:name="_Toc13958_WPSOffice_Level2"/>
      <w:bookmarkStart w:id="36" w:name="_Toc745_WPSOffice_Level2"/>
      <w:bookmarkStart w:id="37" w:name="_Toc9492"/>
      <w:bookmarkStart w:id="38" w:name="_Toc31171"/>
      <w:bookmarkStart w:id="39" w:name="_Toc5677"/>
      <w:r>
        <w:rPr>
          <w:rStyle w:val="15"/>
          <w:rFonts w:hint="eastAsia" w:ascii="宋体" w:hAnsi="宋体" w:eastAsia="宋体" w:cs="仿宋_GB2312"/>
          <w:sz w:val="28"/>
          <w:szCs w:val="28"/>
        </w:rPr>
        <w:t>（三）绩效评价原则、评价指标体系、评价方法</w:t>
      </w:r>
      <w:bookmarkEnd w:id="34"/>
      <w:bookmarkEnd w:id="35"/>
      <w:bookmarkEnd w:id="36"/>
    </w:p>
    <w:bookmarkEnd w:id="37"/>
    <w:bookmarkEnd w:id="38"/>
    <w:bookmarkEnd w:id="39"/>
    <w:p>
      <w:pPr>
        <w:spacing w:line="540" w:lineRule="exact"/>
        <w:ind w:firstLine="562" w:firstLineChars="200"/>
        <w:rPr>
          <w:rFonts w:cs="宋体" w:asciiTheme="minorEastAsia" w:hAnsiTheme="minorEastAsia"/>
          <w:sz w:val="28"/>
          <w:szCs w:val="28"/>
          <w:shd w:val="clear" w:color="auto" w:fill="FFFFFF"/>
        </w:rPr>
      </w:pPr>
      <w:r>
        <w:rPr>
          <w:rFonts w:hint="eastAsia" w:ascii="宋体" w:hAnsi="宋体"/>
          <w:b/>
          <w:bCs/>
          <w:color w:val="000000"/>
          <w:sz w:val="28"/>
          <w:szCs w:val="28"/>
        </w:rPr>
        <w:t>1、绩效评价原则：</w:t>
      </w:r>
      <w:r>
        <w:rPr>
          <w:rFonts w:hint="eastAsia" w:cs="宋体" w:asciiTheme="minorEastAsia" w:hAnsiTheme="minorEastAsia"/>
          <w:sz w:val="28"/>
          <w:szCs w:val="28"/>
          <w:shd w:val="clear" w:color="auto" w:fill="FFFFFF"/>
        </w:rPr>
        <w:t>遵循客观公正，操作简便高效，尊重客观实际，实事求是的原则。</w:t>
      </w:r>
    </w:p>
    <w:p>
      <w:pPr>
        <w:spacing w:line="540" w:lineRule="exact"/>
        <w:ind w:firstLine="562" w:firstLineChars="200"/>
        <w:rPr>
          <w:rFonts w:ascii="宋体" w:hAnsi="宋体"/>
          <w:color w:val="000000"/>
          <w:sz w:val="28"/>
          <w:szCs w:val="28"/>
        </w:rPr>
      </w:pPr>
      <w:r>
        <w:rPr>
          <w:rFonts w:hint="eastAsia" w:ascii="宋体" w:hAnsi="宋体"/>
          <w:b/>
          <w:bCs/>
          <w:color w:val="000000"/>
          <w:sz w:val="28"/>
          <w:szCs w:val="28"/>
        </w:rPr>
        <w:t>2、评价指标体系：</w:t>
      </w:r>
      <w:r>
        <w:rPr>
          <w:rFonts w:hint="eastAsia" w:ascii="宋体" w:hAnsi="宋体"/>
          <w:color w:val="000000"/>
          <w:sz w:val="28"/>
          <w:szCs w:val="28"/>
        </w:rPr>
        <w:t>共性指标依据专项资金的设立、申请、决策、管理过程的特点制定符合专项资金的评价指标；个性指标根据该专项资金的实际情况和具体实施的过程及结果效应，制定符合该专项资金相应的个性指标，最终完善该项目的评价指标体系。</w:t>
      </w:r>
    </w:p>
    <w:p>
      <w:pPr>
        <w:spacing w:line="540" w:lineRule="exact"/>
        <w:ind w:firstLine="562" w:firstLineChars="200"/>
        <w:jc w:val="left"/>
        <w:rPr>
          <w:rFonts w:ascii="宋体" w:hAnsi="宋体"/>
          <w:color w:val="000000"/>
          <w:sz w:val="28"/>
          <w:szCs w:val="28"/>
        </w:rPr>
      </w:pPr>
      <w:r>
        <w:rPr>
          <w:rFonts w:hint="eastAsia" w:ascii="宋体" w:hAnsi="宋体"/>
          <w:b/>
          <w:bCs/>
          <w:color w:val="000000"/>
          <w:sz w:val="28"/>
          <w:szCs w:val="28"/>
        </w:rPr>
        <w:t>3、评价方法：</w:t>
      </w:r>
      <w:r>
        <w:rPr>
          <w:rFonts w:hint="eastAsia" w:ascii="宋体" w:hAnsi="宋体"/>
          <w:color w:val="000000"/>
          <w:sz w:val="28"/>
          <w:szCs w:val="28"/>
        </w:rPr>
        <w:t>检查和评价，采取审阅项目文件、相关资料、查阅账簿凭证、财务资料、实地查看等多种方法，结合该项目自评自查，对清溪村、双花村联村安全饮水巩固提升项目补助专项资金的管理和使用、对专项资金效益进行客观、真实地检查和评价。</w:t>
      </w:r>
    </w:p>
    <w:p>
      <w:pPr>
        <w:pStyle w:val="10"/>
        <w:widowControl/>
        <w:spacing w:line="540" w:lineRule="exact"/>
        <w:ind w:firstLine="562" w:firstLineChars="200"/>
        <w:rPr>
          <w:rStyle w:val="15"/>
          <w:rFonts w:ascii="宋体" w:hAnsi="宋体" w:eastAsia="宋体" w:cs="仿宋"/>
          <w:sz w:val="28"/>
          <w:szCs w:val="28"/>
        </w:rPr>
      </w:pPr>
      <w:bookmarkStart w:id="40" w:name="_Toc31971_WPSOffice_Level2"/>
      <w:bookmarkStart w:id="41" w:name="_Toc30145_WPSOffice_Level2"/>
      <w:bookmarkStart w:id="42" w:name="_Toc6491_WPSOffice_Level2"/>
      <w:bookmarkStart w:id="43" w:name="_Toc7724"/>
      <w:bookmarkStart w:id="44" w:name="_Toc30774"/>
      <w:bookmarkStart w:id="45" w:name="_Toc14254"/>
      <w:r>
        <w:rPr>
          <w:rStyle w:val="15"/>
          <w:rFonts w:hint="eastAsia" w:ascii="宋体" w:hAnsi="宋体" w:eastAsia="宋体" w:cs="仿宋"/>
          <w:sz w:val="28"/>
          <w:szCs w:val="28"/>
        </w:rPr>
        <w:t>（四）绩效评价工作过程</w:t>
      </w:r>
      <w:bookmarkEnd w:id="40"/>
      <w:bookmarkEnd w:id="41"/>
      <w:bookmarkEnd w:id="42"/>
    </w:p>
    <w:bookmarkEnd w:id="43"/>
    <w:bookmarkEnd w:id="44"/>
    <w:bookmarkEnd w:id="45"/>
    <w:p>
      <w:pPr>
        <w:spacing w:line="540" w:lineRule="exact"/>
        <w:ind w:firstLine="562" w:firstLineChars="200"/>
        <w:rPr>
          <w:rFonts w:ascii="宋体" w:hAnsi="宋体" w:cs="仿宋"/>
          <w:color w:val="000000"/>
          <w:sz w:val="28"/>
          <w:szCs w:val="28"/>
        </w:rPr>
      </w:pPr>
      <w:r>
        <w:rPr>
          <w:rFonts w:hint="eastAsia" w:ascii="宋体" w:hAnsi="宋体" w:cs="仿宋"/>
          <w:b/>
          <w:bCs/>
          <w:color w:val="000000"/>
          <w:sz w:val="28"/>
          <w:szCs w:val="28"/>
        </w:rPr>
        <w:t>1、成立绩效评价工作小组。</w:t>
      </w:r>
      <w:r>
        <w:rPr>
          <w:rFonts w:hint="eastAsia" w:ascii="宋体" w:hAnsi="宋体" w:cs="仿宋"/>
          <w:color w:val="000000"/>
          <w:sz w:val="28"/>
          <w:szCs w:val="28"/>
        </w:rPr>
        <w:t>接受委托后，我所成立了绩效评价工作小组，抽调了3名绩效评价工作人员，进行前期培训和业务督导。</w:t>
      </w:r>
    </w:p>
    <w:p>
      <w:pPr>
        <w:spacing w:line="540" w:lineRule="exact"/>
        <w:ind w:firstLine="562" w:firstLineChars="200"/>
        <w:rPr>
          <w:rFonts w:ascii="宋体" w:hAnsi="宋体" w:cs="仿宋"/>
          <w:sz w:val="28"/>
          <w:szCs w:val="28"/>
        </w:rPr>
      </w:pPr>
      <w:r>
        <w:rPr>
          <w:rFonts w:hint="eastAsia" w:ascii="宋体" w:hAnsi="宋体" w:cs="仿宋"/>
          <w:b/>
          <w:sz w:val="28"/>
          <w:szCs w:val="28"/>
        </w:rPr>
        <w:t>2、收集相关资料，熟悉掌握相关信息。</w:t>
      </w:r>
      <w:r>
        <w:rPr>
          <w:rFonts w:hint="eastAsia" w:ascii="宋体" w:hAnsi="宋体" w:cs="仿宋"/>
          <w:bCs/>
          <w:sz w:val="28"/>
          <w:szCs w:val="28"/>
        </w:rPr>
        <w:t>前期准备工作，评价</w:t>
      </w:r>
      <w:r>
        <w:rPr>
          <w:rFonts w:hint="eastAsia" w:ascii="宋体" w:hAnsi="宋体" w:cs="仿宋"/>
          <w:sz w:val="28"/>
          <w:szCs w:val="28"/>
        </w:rPr>
        <w:t>小组从云溪街道办</w:t>
      </w:r>
      <w:r>
        <w:rPr>
          <w:rFonts w:hint="eastAsia" w:ascii="宋体" w:hAnsi="宋体" w:cs="仿宋"/>
          <w:bCs/>
          <w:sz w:val="28"/>
          <w:szCs w:val="28"/>
        </w:rPr>
        <w:t>收集政策依据、专项资金管理办法、指标文件、绩效自评报告、项目相关文件和评审办法等，并从有关部门、互联网</w:t>
      </w:r>
      <w:r>
        <w:rPr>
          <w:rFonts w:hint="eastAsia" w:ascii="宋体" w:hAnsi="宋体" w:cs="仿宋"/>
          <w:sz w:val="28"/>
          <w:szCs w:val="28"/>
        </w:rPr>
        <w:t>等途径获取相关资料信息，熟悉了解专项资金的性质和绩效目标。</w:t>
      </w:r>
    </w:p>
    <w:p>
      <w:pPr>
        <w:snapToGrid w:val="0"/>
        <w:spacing w:line="540" w:lineRule="exact"/>
        <w:ind w:firstLine="562" w:firstLineChars="200"/>
        <w:rPr>
          <w:rFonts w:ascii="宋体" w:hAnsi="宋体" w:cs="仿宋"/>
          <w:sz w:val="28"/>
          <w:szCs w:val="28"/>
        </w:rPr>
      </w:pPr>
      <w:r>
        <w:rPr>
          <w:rFonts w:hint="eastAsia" w:ascii="宋体" w:hAnsi="宋体" w:cs="仿宋"/>
          <w:b/>
          <w:sz w:val="28"/>
          <w:szCs w:val="28"/>
        </w:rPr>
        <w:t>3、确定绩效评价体系。</w:t>
      </w:r>
      <w:r>
        <w:rPr>
          <w:rFonts w:hint="eastAsia" w:ascii="宋体" w:hAnsi="宋体" w:cs="仿宋"/>
          <w:sz w:val="28"/>
          <w:szCs w:val="28"/>
        </w:rPr>
        <w:t>确定绩效目标，明确绩效指标，根据专项资金的项目特点进行分析，设计专项资金基础数据表，根据基础数据反映或计算出评价指标的原则，确定取得相关数据。编制绩效评价指标及评分表。</w:t>
      </w:r>
    </w:p>
    <w:p>
      <w:pPr>
        <w:spacing w:line="540" w:lineRule="exact"/>
        <w:ind w:firstLine="562" w:firstLineChars="200"/>
        <w:rPr>
          <w:rFonts w:ascii="宋体" w:hAnsi="宋体" w:cs="仿宋"/>
          <w:sz w:val="28"/>
          <w:szCs w:val="28"/>
        </w:rPr>
      </w:pPr>
      <w:r>
        <w:rPr>
          <w:rFonts w:hint="eastAsia" w:ascii="宋体" w:hAnsi="宋体" w:cs="仿宋"/>
          <w:b/>
          <w:kern w:val="0"/>
          <w:sz w:val="28"/>
          <w:szCs w:val="28"/>
        </w:rPr>
        <w:t>4、对指标进行整理分类、筛选和优化。</w:t>
      </w:r>
      <w:r>
        <w:rPr>
          <w:rFonts w:hint="eastAsia" w:ascii="宋体" w:hAnsi="宋体" w:cs="仿宋"/>
          <w:sz w:val="28"/>
          <w:szCs w:val="28"/>
        </w:rPr>
        <w:t>评价小组针对绩效目标，根据其内容收集和采集所需资料，并对此进行分类整理，选取绩效评价指标；按各指标的内在因果、隶属等逻辑关系进行分解，对各指标进行整理分类、筛选和优化。</w:t>
      </w:r>
    </w:p>
    <w:p>
      <w:pPr>
        <w:spacing w:line="540" w:lineRule="exact"/>
        <w:ind w:firstLine="562" w:firstLineChars="200"/>
        <w:rPr>
          <w:rFonts w:ascii="宋体" w:hAnsi="宋体" w:cs="仿宋"/>
          <w:sz w:val="28"/>
          <w:szCs w:val="28"/>
        </w:rPr>
      </w:pPr>
      <w:r>
        <w:rPr>
          <w:rFonts w:hint="eastAsia" w:ascii="宋体" w:hAnsi="宋体" w:cs="仿宋"/>
          <w:b/>
          <w:sz w:val="28"/>
          <w:szCs w:val="28"/>
        </w:rPr>
        <w:t>5、与主管单位沟通，对指标体系达成共识。</w:t>
      </w:r>
      <w:r>
        <w:rPr>
          <w:rFonts w:hint="eastAsia" w:ascii="宋体" w:hAnsi="宋体" w:cs="仿宋"/>
          <w:sz w:val="28"/>
          <w:szCs w:val="28"/>
        </w:rPr>
        <w:t>评价小组认真听取主管单位的意见和建议，对指标体系进行修订，达成共识。制定实施方案，合理安排任务。</w:t>
      </w:r>
    </w:p>
    <w:p>
      <w:pPr>
        <w:spacing w:line="540" w:lineRule="exact"/>
        <w:ind w:firstLine="562" w:firstLineChars="200"/>
        <w:rPr>
          <w:rFonts w:ascii="宋体" w:hAnsi="宋体" w:cs="仿宋"/>
          <w:color w:val="C00000"/>
          <w:sz w:val="28"/>
          <w:szCs w:val="28"/>
        </w:rPr>
      </w:pPr>
      <w:r>
        <w:rPr>
          <w:rFonts w:hint="eastAsia" w:ascii="宋体" w:hAnsi="宋体" w:cs="仿宋"/>
          <w:b/>
          <w:sz w:val="28"/>
          <w:szCs w:val="28"/>
        </w:rPr>
        <w:t>6、设计问卷调查与访问对象。</w:t>
      </w:r>
      <w:r>
        <w:rPr>
          <w:rFonts w:hint="eastAsia" w:ascii="宋体" w:hAnsi="宋体" w:cs="仿宋"/>
          <w:sz w:val="28"/>
          <w:szCs w:val="28"/>
        </w:rPr>
        <w:t>指标体系设计完成后，根据资金特点和指标内容设计了“问卷调查”。根据问题确定面访对象，面访对象包括项目管理单位工作人员、项目地域公众代表。</w:t>
      </w:r>
    </w:p>
    <w:p>
      <w:pPr>
        <w:spacing w:line="540" w:lineRule="exact"/>
        <w:ind w:firstLine="562" w:firstLineChars="200"/>
        <w:rPr>
          <w:rFonts w:ascii="宋体" w:hAnsi="宋体" w:cs="仿宋"/>
          <w:sz w:val="28"/>
          <w:szCs w:val="28"/>
        </w:rPr>
      </w:pPr>
      <w:r>
        <w:rPr>
          <w:rFonts w:hint="eastAsia" w:ascii="宋体" w:hAnsi="宋体" w:cs="仿宋"/>
          <w:b/>
          <w:bCs/>
          <w:color w:val="000000"/>
          <w:sz w:val="28"/>
          <w:szCs w:val="28"/>
        </w:rPr>
        <w:t>7、绩效评价实施过程。</w:t>
      </w:r>
      <w:r>
        <w:rPr>
          <w:rFonts w:hint="eastAsia" w:ascii="宋体" w:hAnsi="宋体" w:cs="仿宋"/>
          <w:sz w:val="28"/>
          <w:szCs w:val="28"/>
        </w:rPr>
        <w:t>评价设计过程阶段结束后，评价小组进入评价实施过程：召开进场会→下发绩效评价工作方案和基础数据表→收集自评报告及基础数据表→提前通知现场评价对象→按计划现场评价及取证→编制现场评价工作底稿→实地调研、发放问卷调查→获取现场评价工作回执→整理资料汇总数据→撰写绩效评价报告。</w:t>
      </w:r>
    </w:p>
    <w:p>
      <w:pPr>
        <w:spacing w:line="540" w:lineRule="exact"/>
        <w:ind w:firstLine="562" w:firstLineChars="200"/>
        <w:rPr>
          <w:rFonts w:ascii="宋体" w:hAnsi="宋体" w:cs="仿宋"/>
          <w:sz w:val="28"/>
          <w:szCs w:val="28"/>
        </w:rPr>
      </w:pPr>
      <w:r>
        <w:rPr>
          <w:rFonts w:hint="eastAsia" w:ascii="宋体" w:hAnsi="宋体" w:cs="仿宋"/>
          <w:b/>
          <w:bCs/>
          <w:color w:val="000000"/>
          <w:sz w:val="28"/>
          <w:szCs w:val="28"/>
        </w:rPr>
        <w:t>8、绩效评价的客观性</w:t>
      </w:r>
      <w:r>
        <w:rPr>
          <w:rFonts w:hint="eastAsia" w:ascii="宋体" w:hAnsi="宋体" w:cs="仿宋"/>
          <w:sz w:val="28"/>
          <w:szCs w:val="28"/>
        </w:rPr>
        <w:t>。检查专项资金使用的真实性，对专项资金使用带来的社会、经济、持续发展等方面的影响进行较为客观的评价。</w:t>
      </w:r>
    </w:p>
    <w:p>
      <w:pPr>
        <w:pStyle w:val="10"/>
        <w:widowControl/>
        <w:spacing w:line="540" w:lineRule="exact"/>
        <w:ind w:firstLine="562" w:firstLineChars="200"/>
        <w:rPr>
          <w:rFonts w:ascii="宋体" w:hAnsi="宋体" w:cs="仿宋"/>
          <w:b/>
          <w:kern w:val="2"/>
          <w:sz w:val="28"/>
          <w:szCs w:val="28"/>
        </w:rPr>
      </w:pPr>
      <w:bookmarkStart w:id="46" w:name="_Toc29968_WPSOffice_Level1"/>
      <w:bookmarkStart w:id="47" w:name="_Toc22846_WPSOffice_Level1"/>
      <w:bookmarkStart w:id="48" w:name="_Toc29677_WPSOffice_Level1"/>
      <w:bookmarkStart w:id="49" w:name="_Toc5719"/>
      <w:bookmarkStart w:id="50" w:name="_Toc32385"/>
      <w:bookmarkStart w:id="51" w:name="_Toc5393"/>
      <w:r>
        <w:rPr>
          <w:rFonts w:hint="eastAsia" w:ascii="宋体" w:hAnsi="宋体" w:cs="仿宋"/>
          <w:b/>
          <w:kern w:val="2"/>
          <w:sz w:val="28"/>
          <w:szCs w:val="28"/>
        </w:rPr>
        <w:t>三、绩效评价指标分析</w:t>
      </w:r>
      <w:bookmarkEnd w:id="46"/>
      <w:bookmarkEnd w:id="47"/>
      <w:bookmarkEnd w:id="48"/>
    </w:p>
    <w:bookmarkEnd w:id="49"/>
    <w:bookmarkEnd w:id="50"/>
    <w:bookmarkEnd w:id="51"/>
    <w:p>
      <w:pPr>
        <w:pStyle w:val="10"/>
        <w:widowControl/>
        <w:spacing w:line="540" w:lineRule="exact"/>
        <w:ind w:firstLine="562" w:firstLineChars="200"/>
        <w:rPr>
          <w:rFonts w:ascii="宋体" w:hAnsi="宋体" w:cs="仿宋"/>
          <w:b/>
          <w:bCs/>
          <w:kern w:val="2"/>
          <w:sz w:val="28"/>
          <w:szCs w:val="28"/>
        </w:rPr>
      </w:pPr>
      <w:bookmarkStart w:id="52" w:name="_Toc29484_WPSOffice_Level2"/>
      <w:bookmarkStart w:id="53" w:name="_Toc32565_WPSOffice_Level2"/>
      <w:bookmarkStart w:id="54" w:name="_Toc32591_WPSOffice_Level2"/>
      <w:bookmarkStart w:id="55" w:name="_Toc7420"/>
      <w:bookmarkStart w:id="56" w:name="_Toc12960"/>
      <w:bookmarkStart w:id="57" w:name="_Toc22288"/>
      <w:r>
        <w:rPr>
          <w:rFonts w:hint="eastAsia" w:ascii="宋体" w:hAnsi="宋体" w:cs="仿宋"/>
          <w:b/>
          <w:bCs/>
          <w:kern w:val="2"/>
          <w:sz w:val="28"/>
          <w:szCs w:val="28"/>
        </w:rPr>
        <w:t>（一）项目</w:t>
      </w:r>
      <w:bookmarkEnd w:id="52"/>
      <w:bookmarkEnd w:id="53"/>
      <w:bookmarkEnd w:id="54"/>
      <w:r>
        <w:rPr>
          <w:rFonts w:hint="eastAsia" w:ascii="宋体" w:hAnsi="宋体" w:cs="仿宋"/>
          <w:b/>
          <w:bCs/>
          <w:kern w:val="2"/>
          <w:sz w:val="28"/>
          <w:szCs w:val="28"/>
        </w:rPr>
        <w:t>支出情况分析</w:t>
      </w:r>
    </w:p>
    <w:bookmarkEnd w:id="55"/>
    <w:bookmarkEnd w:id="56"/>
    <w:bookmarkEnd w:id="57"/>
    <w:p>
      <w:pPr>
        <w:spacing w:line="540" w:lineRule="exact"/>
        <w:ind w:firstLine="562" w:firstLineChars="200"/>
        <w:rPr>
          <w:rFonts w:ascii="宋体" w:hAnsi="宋体" w:cs="仿宋"/>
          <w:b/>
          <w:bCs/>
          <w:sz w:val="28"/>
          <w:szCs w:val="28"/>
        </w:rPr>
      </w:pPr>
      <w:bookmarkStart w:id="58" w:name="_Toc19357_WPSOffice_Level3"/>
      <w:bookmarkStart w:id="59" w:name="_Toc14300_WPSOffice_Level3"/>
      <w:r>
        <w:rPr>
          <w:rFonts w:hint="eastAsia" w:ascii="宋体" w:hAnsi="宋体" w:cs="仿宋"/>
          <w:b/>
          <w:bCs/>
          <w:sz w:val="28"/>
          <w:szCs w:val="28"/>
        </w:rPr>
        <w:t>1</w:t>
      </w:r>
      <w:bookmarkEnd w:id="58"/>
      <w:bookmarkEnd w:id="59"/>
      <w:r>
        <w:rPr>
          <w:rFonts w:hint="eastAsia" w:ascii="宋体" w:hAnsi="宋体" w:cs="仿宋"/>
          <w:b/>
          <w:bCs/>
          <w:sz w:val="28"/>
          <w:szCs w:val="28"/>
        </w:rPr>
        <w:t>、资金来源及到位情况</w:t>
      </w:r>
    </w:p>
    <w:p>
      <w:pPr>
        <w:spacing w:line="540" w:lineRule="exact"/>
        <w:ind w:firstLine="560" w:firstLineChars="200"/>
        <w:rPr>
          <w:rFonts w:ascii="宋体" w:hAnsi="宋体" w:cs="仿宋"/>
          <w:color w:val="FF0000"/>
          <w:sz w:val="28"/>
          <w:szCs w:val="28"/>
        </w:rPr>
      </w:pPr>
      <w:r>
        <w:rPr>
          <w:rFonts w:hint="eastAsia" w:ascii="宋体" w:hAnsi="宋体" w:cs="仿宋"/>
          <w:sz w:val="28"/>
          <w:szCs w:val="28"/>
        </w:rPr>
        <w:t>项目总投资364.56万元，资金来源包括：区财政拨付2021年度本级财政衔接推进乡村振兴补助资金200万元，</w:t>
      </w:r>
      <w:r>
        <w:rPr>
          <w:rFonts w:hint="eastAsia" w:ascii="宋体" w:hAnsi="宋体"/>
          <w:color w:val="000000"/>
          <w:sz w:val="28"/>
          <w:szCs w:val="28"/>
        </w:rPr>
        <w:t>区发改局</w:t>
      </w:r>
      <w:r>
        <w:rPr>
          <w:rFonts w:hint="eastAsia" w:ascii="宋体" w:hAnsi="宋体" w:cs="仿宋"/>
          <w:sz w:val="28"/>
          <w:szCs w:val="28"/>
        </w:rPr>
        <w:t>拨付移民资金90万元，单位自筹资金74.56万元。财政资金及其他配套资金到位率100%。</w:t>
      </w:r>
    </w:p>
    <w:p>
      <w:pPr>
        <w:spacing w:line="540" w:lineRule="exact"/>
        <w:ind w:firstLine="560" w:firstLineChars="200"/>
        <w:rPr>
          <w:rFonts w:ascii="宋体" w:hAnsi="宋体" w:cs="仿宋"/>
          <w:szCs w:val="21"/>
        </w:rPr>
      </w:pPr>
      <w:r>
        <w:rPr>
          <w:rFonts w:hint="eastAsia" w:ascii="宋体" w:hAnsi="宋体" w:cs="仿宋"/>
          <w:sz w:val="28"/>
          <w:szCs w:val="28"/>
        </w:rPr>
        <w:t xml:space="preserve">资金收入情况见下表：                         </w:t>
      </w:r>
      <w:r>
        <w:rPr>
          <w:rFonts w:hint="eastAsia" w:ascii="宋体" w:hAnsi="宋体" w:cs="仿宋"/>
          <w:szCs w:val="21"/>
        </w:rPr>
        <w:t xml:space="preserve"> 单位：元</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4"/>
        <w:gridCol w:w="2010"/>
        <w:gridCol w:w="1936"/>
        <w:gridCol w:w="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trPr>
        <w:tc>
          <w:tcPr>
            <w:tcW w:w="420" w:type="pct"/>
            <w:shd w:val="clear" w:color="auto" w:fill="auto"/>
            <w:noWrap/>
            <w:tcMar>
              <w:top w:w="8" w:type="dxa"/>
              <w:left w:w="8" w:type="dxa"/>
              <w:right w:w="8" w:type="dxa"/>
            </w:tcMar>
            <w:vAlign w:val="bottom"/>
          </w:tcPr>
          <w:p>
            <w:pPr>
              <w:widowControl/>
              <w:spacing w:line="360" w:lineRule="auto"/>
              <w:jc w:val="center"/>
              <w:textAlignment w:val="bottom"/>
              <w:rPr>
                <w:rFonts w:ascii="宋体" w:hAnsi="宋体" w:cs="宋体"/>
                <w:b/>
                <w:color w:val="000000"/>
                <w:szCs w:val="21"/>
              </w:rPr>
            </w:pPr>
            <w:r>
              <w:rPr>
                <w:rFonts w:hint="eastAsia" w:ascii="宋体" w:hAnsi="宋体" w:cs="宋体"/>
                <w:b/>
                <w:color w:val="000000"/>
                <w:szCs w:val="21"/>
              </w:rPr>
              <w:t>序号</w:t>
            </w:r>
          </w:p>
        </w:tc>
        <w:tc>
          <w:tcPr>
            <w:tcW w:w="1149" w:type="pct"/>
            <w:shd w:val="clear" w:color="auto" w:fill="auto"/>
            <w:noWrap/>
            <w:tcMar>
              <w:top w:w="8" w:type="dxa"/>
              <w:left w:w="8" w:type="dxa"/>
              <w:right w:w="8" w:type="dxa"/>
            </w:tcMar>
            <w:vAlign w:val="bottom"/>
          </w:tcPr>
          <w:p>
            <w:pPr>
              <w:widowControl/>
              <w:spacing w:line="360" w:lineRule="auto"/>
              <w:jc w:val="center"/>
              <w:textAlignment w:val="bottom"/>
              <w:rPr>
                <w:rFonts w:ascii="宋体" w:hAnsi="宋体" w:cs="宋体"/>
                <w:b/>
                <w:color w:val="000000"/>
                <w:kern w:val="0"/>
                <w:szCs w:val="21"/>
              </w:rPr>
            </w:pPr>
            <w:r>
              <w:rPr>
                <w:rFonts w:hint="eastAsia" w:ascii="宋体" w:hAnsi="宋体" w:cs="宋体"/>
                <w:b/>
                <w:color w:val="000000"/>
                <w:kern w:val="0"/>
                <w:szCs w:val="21"/>
              </w:rPr>
              <w:t>资金来源</w:t>
            </w:r>
          </w:p>
        </w:tc>
        <w:tc>
          <w:tcPr>
            <w:tcW w:w="1107" w:type="pct"/>
            <w:shd w:val="clear" w:color="auto" w:fill="auto"/>
            <w:noWrap/>
            <w:tcMar>
              <w:top w:w="8" w:type="dxa"/>
              <w:left w:w="8" w:type="dxa"/>
              <w:right w:w="8" w:type="dxa"/>
            </w:tcMar>
            <w:vAlign w:val="bottom"/>
          </w:tcPr>
          <w:p>
            <w:pPr>
              <w:widowControl/>
              <w:spacing w:line="360" w:lineRule="auto"/>
              <w:jc w:val="center"/>
              <w:textAlignment w:val="bottom"/>
              <w:rPr>
                <w:rFonts w:ascii="宋体" w:hAnsi="宋体" w:cs="宋体"/>
                <w:b/>
                <w:color w:val="000000"/>
                <w:szCs w:val="21"/>
              </w:rPr>
            </w:pPr>
            <w:r>
              <w:rPr>
                <w:rFonts w:hint="eastAsia" w:ascii="宋体" w:hAnsi="宋体" w:cs="宋体"/>
                <w:b/>
                <w:color w:val="000000"/>
                <w:kern w:val="0"/>
                <w:szCs w:val="21"/>
              </w:rPr>
              <w:t>金额</w:t>
            </w:r>
          </w:p>
        </w:tc>
        <w:tc>
          <w:tcPr>
            <w:tcW w:w="2324" w:type="pct"/>
            <w:shd w:val="clear" w:color="auto" w:fill="auto"/>
            <w:noWrap/>
            <w:tcMar>
              <w:top w:w="8" w:type="dxa"/>
              <w:left w:w="8" w:type="dxa"/>
              <w:right w:w="8" w:type="dxa"/>
            </w:tcMar>
            <w:vAlign w:val="bottom"/>
          </w:tcPr>
          <w:p>
            <w:pPr>
              <w:widowControl/>
              <w:spacing w:line="360" w:lineRule="auto"/>
              <w:jc w:val="center"/>
              <w:textAlignment w:val="bottom"/>
              <w:rPr>
                <w:rFonts w:ascii="宋体" w:hAnsi="宋体" w:cs="宋体"/>
                <w:b/>
                <w:color w:val="000000"/>
                <w:szCs w:val="21"/>
              </w:rPr>
            </w:pPr>
            <w:r>
              <w:rPr>
                <w:rFonts w:hint="eastAsia" w:ascii="宋体" w:hAnsi="宋体" w:cs="宋体"/>
                <w:b/>
                <w:color w:val="000000"/>
                <w:szCs w:val="21"/>
              </w:rPr>
              <w:t>凭证号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trPr>
        <w:tc>
          <w:tcPr>
            <w:tcW w:w="420" w:type="pct"/>
            <w:shd w:val="clear" w:color="auto" w:fill="auto"/>
            <w:noWrap/>
            <w:tcMar>
              <w:top w:w="8" w:type="dxa"/>
              <w:left w:w="8" w:type="dxa"/>
              <w:right w:w="8" w:type="dxa"/>
            </w:tcMar>
            <w:vAlign w:val="bottom"/>
          </w:tcPr>
          <w:p>
            <w:pPr>
              <w:widowControl/>
              <w:spacing w:line="360" w:lineRule="auto"/>
              <w:jc w:val="center"/>
              <w:textAlignment w:val="bottom"/>
              <w:rPr>
                <w:rFonts w:ascii="宋体" w:hAnsi="宋体" w:cs="宋体"/>
                <w:color w:val="000000"/>
                <w:szCs w:val="21"/>
              </w:rPr>
            </w:pPr>
            <w:r>
              <w:rPr>
                <w:rFonts w:hint="eastAsia" w:ascii="宋体" w:hAnsi="宋体" w:cs="宋体"/>
                <w:color w:val="000000"/>
                <w:szCs w:val="21"/>
              </w:rPr>
              <w:t>1</w:t>
            </w:r>
          </w:p>
        </w:tc>
        <w:tc>
          <w:tcPr>
            <w:tcW w:w="1149" w:type="pct"/>
            <w:shd w:val="clear" w:color="auto" w:fill="auto"/>
            <w:noWrap/>
            <w:tcMar>
              <w:top w:w="8" w:type="dxa"/>
              <w:left w:w="8" w:type="dxa"/>
              <w:right w:w="8" w:type="dxa"/>
            </w:tcMar>
            <w:vAlign w:val="bottom"/>
          </w:tcPr>
          <w:p>
            <w:pPr>
              <w:widowControl/>
              <w:spacing w:line="360" w:lineRule="auto"/>
              <w:jc w:val="left"/>
              <w:textAlignment w:val="bottom"/>
              <w:rPr>
                <w:rFonts w:ascii="宋体" w:hAnsi="宋体" w:cs="宋体"/>
                <w:b/>
                <w:color w:val="000000"/>
                <w:szCs w:val="21"/>
              </w:rPr>
            </w:pPr>
            <w:r>
              <w:rPr>
                <w:rFonts w:hint="eastAsia" w:ascii="宋体" w:hAnsi="宋体" w:cs="宋体"/>
                <w:bCs/>
                <w:color w:val="000000"/>
                <w:szCs w:val="21"/>
              </w:rPr>
              <w:t>云溪区财政局</w:t>
            </w:r>
          </w:p>
        </w:tc>
        <w:tc>
          <w:tcPr>
            <w:tcW w:w="1107" w:type="pct"/>
            <w:shd w:val="clear" w:color="auto" w:fill="auto"/>
            <w:noWrap/>
            <w:tcMar>
              <w:top w:w="8" w:type="dxa"/>
              <w:left w:w="8" w:type="dxa"/>
              <w:right w:w="8" w:type="dxa"/>
            </w:tcMar>
            <w:vAlign w:val="bottom"/>
          </w:tcPr>
          <w:p>
            <w:pPr>
              <w:widowControl/>
              <w:spacing w:line="360" w:lineRule="auto"/>
              <w:jc w:val="right"/>
              <w:textAlignment w:val="bottom"/>
              <w:rPr>
                <w:rFonts w:ascii="宋体" w:hAnsi="宋体" w:cs="宋体"/>
                <w:szCs w:val="21"/>
              </w:rPr>
            </w:pPr>
            <w:r>
              <w:rPr>
                <w:rFonts w:hint="eastAsia" w:ascii="宋体" w:hAnsi="宋体" w:cs="宋体"/>
                <w:szCs w:val="21"/>
              </w:rPr>
              <w:t>2,000,000.00</w:t>
            </w:r>
          </w:p>
        </w:tc>
        <w:tc>
          <w:tcPr>
            <w:tcW w:w="2324" w:type="pct"/>
            <w:shd w:val="clear" w:color="auto" w:fill="auto"/>
            <w:noWrap/>
            <w:tcMar>
              <w:top w:w="8" w:type="dxa"/>
              <w:left w:w="8" w:type="dxa"/>
              <w:right w:w="8" w:type="dxa"/>
            </w:tcMar>
            <w:vAlign w:val="bottom"/>
          </w:tcPr>
          <w:p>
            <w:pPr>
              <w:widowControl/>
              <w:spacing w:line="360" w:lineRule="auto"/>
              <w:jc w:val="left"/>
              <w:textAlignment w:val="bottom"/>
              <w:rPr>
                <w:rFonts w:ascii="宋体" w:hAnsi="宋体" w:cs="宋体"/>
                <w:color w:val="000000"/>
                <w:szCs w:val="21"/>
              </w:rPr>
            </w:pPr>
            <w:r>
              <w:rPr>
                <w:rFonts w:hint="eastAsia" w:ascii="宋体" w:hAnsi="宋体" w:cs="宋体"/>
                <w:color w:val="000000"/>
                <w:szCs w:val="21"/>
              </w:rPr>
              <w:t>2021-9-2#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exact"/>
        </w:trPr>
        <w:tc>
          <w:tcPr>
            <w:tcW w:w="420" w:type="pct"/>
            <w:shd w:val="clear" w:color="auto" w:fill="auto"/>
            <w:noWrap/>
            <w:tcMar>
              <w:top w:w="8" w:type="dxa"/>
              <w:left w:w="8" w:type="dxa"/>
              <w:right w:w="8" w:type="dxa"/>
            </w:tcMar>
            <w:vAlign w:val="bottom"/>
          </w:tcPr>
          <w:p>
            <w:pPr>
              <w:widowControl/>
              <w:spacing w:line="360" w:lineRule="auto"/>
              <w:jc w:val="center"/>
              <w:textAlignment w:val="bottom"/>
              <w:rPr>
                <w:rFonts w:ascii="宋体" w:hAnsi="宋体" w:cs="宋体"/>
                <w:color w:val="000000"/>
                <w:szCs w:val="21"/>
              </w:rPr>
            </w:pPr>
            <w:r>
              <w:rPr>
                <w:rFonts w:hint="eastAsia" w:ascii="宋体" w:hAnsi="宋体" w:cs="宋体"/>
                <w:color w:val="000000"/>
                <w:szCs w:val="21"/>
              </w:rPr>
              <w:t>2</w:t>
            </w:r>
          </w:p>
        </w:tc>
        <w:tc>
          <w:tcPr>
            <w:tcW w:w="1149" w:type="pct"/>
            <w:shd w:val="clear" w:color="auto" w:fill="auto"/>
            <w:noWrap/>
            <w:tcMar>
              <w:top w:w="8" w:type="dxa"/>
              <w:left w:w="8" w:type="dxa"/>
              <w:right w:w="8" w:type="dxa"/>
            </w:tcMar>
            <w:vAlign w:val="bottom"/>
          </w:tcPr>
          <w:p>
            <w:pPr>
              <w:widowControl/>
              <w:spacing w:line="360" w:lineRule="auto"/>
              <w:jc w:val="left"/>
              <w:textAlignment w:val="bottom"/>
              <w:rPr>
                <w:rFonts w:ascii="宋体" w:hAnsi="宋体" w:cs="宋体"/>
                <w:color w:val="000000"/>
                <w:szCs w:val="21"/>
              </w:rPr>
            </w:pPr>
            <w:r>
              <w:rPr>
                <w:rFonts w:hint="eastAsia" w:ascii="宋体" w:hAnsi="宋体" w:cs="宋体"/>
                <w:color w:val="000000"/>
                <w:szCs w:val="21"/>
              </w:rPr>
              <w:t>云溪区发改局</w:t>
            </w:r>
          </w:p>
        </w:tc>
        <w:tc>
          <w:tcPr>
            <w:tcW w:w="1107" w:type="pct"/>
            <w:shd w:val="clear" w:color="auto" w:fill="auto"/>
            <w:noWrap/>
            <w:tcMar>
              <w:top w:w="8" w:type="dxa"/>
              <w:left w:w="8" w:type="dxa"/>
              <w:right w:w="8" w:type="dxa"/>
            </w:tcMar>
            <w:vAlign w:val="bottom"/>
          </w:tcPr>
          <w:p>
            <w:pPr>
              <w:widowControl/>
              <w:spacing w:line="360" w:lineRule="auto"/>
              <w:jc w:val="right"/>
              <w:textAlignment w:val="bottom"/>
              <w:rPr>
                <w:rFonts w:ascii="宋体" w:hAnsi="宋体" w:cs="宋体"/>
                <w:szCs w:val="21"/>
              </w:rPr>
            </w:pPr>
            <w:r>
              <w:rPr>
                <w:rFonts w:hint="eastAsia" w:ascii="宋体" w:hAnsi="宋体" w:cs="宋体"/>
                <w:szCs w:val="21"/>
              </w:rPr>
              <w:t>900,000.00</w:t>
            </w:r>
          </w:p>
        </w:tc>
        <w:tc>
          <w:tcPr>
            <w:tcW w:w="2324" w:type="pct"/>
            <w:shd w:val="clear" w:color="auto" w:fill="auto"/>
            <w:noWrap/>
            <w:tcMar>
              <w:top w:w="8" w:type="dxa"/>
              <w:left w:w="8" w:type="dxa"/>
              <w:right w:w="8" w:type="dxa"/>
            </w:tcMar>
            <w:vAlign w:val="bottom"/>
          </w:tcPr>
          <w:p>
            <w:pPr>
              <w:widowControl/>
              <w:spacing w:line="360" w:lineRule="auto"/>
              <w:jc w:val="left"/>
              <w:textAlignment w:val="bottom"/>
              <w:rPr>
                <w:rFonts w:ascii="宋体" w:hAnsi="宋体" w:cs="宋体"/>
                <w:color w:val="000000"/>
                <w:sz w:val="18"/>
                <w:szCs w:val="18"/>
              </w:rPr>
            </w:pPr>
            <w:r>
              <w:rPr>
                <w:rFonts w:hint="eastAsia" w:ascii="宋体" w:hAnsi="宋体" w:cs="宋体"/>
                <w:color w:val="000000"/>
                <w:sz w:val="18"/>
                <w:szCs w:val="18"/>
              </w:rPr>
              <w:t>2022-1-4#( 为云溪街道垫付，移民局2022年指标)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trPr>
        <w:tc>
          <w:tcPr>
            <w:tcW w:w="420" w:type="pct"/>
            <w:shd w:val="clear" w:color="auto" w:fill="auto"/>
            <w:noWrap/>
            <w:tcMar>
              <w:top w:w="8" w:type="dxa"/>
              <w:left w:w="8" w:type="dxa"/>
              <w:right w:w="8" w:type="dxa"/>
            </w:tcMar>
            <w:vAlign w:val="bottom"/>
          </w:tcPr>
          <w:p>
            <w:pPr>
              <w:widowControl/>
              <w:spacing w:line="360" w:lineRule="auto"/>
              <w:jc w:val="center"/>
              <w:textAlignment w:val="bottom"/>
              <w:rPr>
                <w:rFonts w:ascii="宋体" w:hAnsi="宋体" w:cs="宋体"/>
                <w:color w:val="000000"/>
                <w:szCs w:val="21"/>
              </w:rPr>
            </w:pPr>
            <w:r>
              <w:rPr>
                <w:rFonts w:hint="eastAsia" w:ascii="宋体" w:hAnsi="宋体" w:cs="宋体"/>
                <w:color w:val="000000"/>
                <w:szCs w:val="21"/>
              </w:rPr>
              <w:t>3</w:t>
            </w:r>
          </w:p>
        </w:tc>
        <w:tc>
          <w:tcPr>
            <w:tcW w:w="1149" w:type="pct"/>
            <w:shd w:val="clear" w:color="auto" w:fill="auto"/>
            <w:noWrap/>
            <w:tcMar>
              <w:top w:w="8" w:type="dxa"/>
              <w:left w:w="8" w:type="dxa"/>
              <w:right w:w="8" w:type="dxa"/>
            </w:tcMar>
            <w:vAlign w:val="bottom"/>
          </w:tcPr>
          <w:p>
            <w:pPr>
              <w:widowControl/>
              <w:spacing w:line="360" w:lineRule="auto"/>
              <w:jc w:val="left"/>
              <w:textAlignment w:val="bottom"/>
              <w:rPr>
                <w:rFonts w:ascii="宋体" w:hAnsi="宋体" w:cs="宋体"/>
                <w:color w:val="000000"/>
                <w:szCs w:val="21"/>
              </w:rPr>
            </w:pPr>
            <w:r>
              <w:rPr>
                <w:rFonts w:hint="eastAsia" w:ascii="宋体" w:hAnsi="宋体" w:cs="宋体"/>
                <w:color w:val="000000"/>
                <w:szCs w:val="21"/>
              </w:rPr>
              <w:t>区街道办自筹资金</w:t>
            </w:r>
          </w:p>
        </w:tc>
        <w:tc>
          <w:tcPr>
            <w:tcW w:w="1107" w:type="pct"/>
            <w:shd w:val="clear" w:color="auto" w:fill="auto"/>
            <w:noWrap/>
            <w:tcMar>
              <w:top w:w="8" w:type="dxa"/>
              <w:left w:w="8" w:type="dxa"/>
              <w:right w:w="8" w:type="dxa"/>
            </w:tcMar>
            <w:vAlign w:val="bottom"/>
          </w:tcPr>
          <w:p>
            <w:pPr>
              <w:widowControl/>
              <w:spacing w:line="360" w:lineRule="auto"/>
              <w:jc w:val="right"/>
              <w:textAlignment w:val="bottom"/>
              <w:rPr>
                <w:rFonts w:ascii="宋体" w:hAnsi="宋体" w:cs="宋体"/>
                <w:szCs w:val="21"/>
              </w:rPr>
            </w:pPr>
            <w:r>
              <w:rPr>
                <w:rFonts w:hint="eastAsia" w:ascii="宋体" w:hAnsi="宋体" w:cs="宋体"/>
                <w:kern w:val="0"/>
                <w:szCs w:val="21"/>
              </w:rPr>
              <w:t xml:space="preserve">745,597.67 </w:t>
            </w:r>
          </w:p>
        </w:tc>
        <w:tc>
          <w:tcPr>
            <w:tcW w:w="2324" w:type="pct"/>
            <w:shd w:val="clear" w:color="auto" w:fill="auto"/>
            <w:noWrap/>
            <w:tcMar>
              <w:top w:w="8" w:type="dxa"/>
              <w:left w:w="8" w:type="dxa"/>
              <w:right w:w="8" w:type="dxa"/>
            </w:tcMar>
            <w:vAlign w:val="bottom"/>
          </w:tcPr>
          <w:p>
            <w:pPr>
              <w:widowControl/>
              <w:spacing w:line="360" w:lineRule="auto"/>
              <w:jc w:val="left"/>
              <w:textAlignment w:val="bottom"/>
              <w:rPr>
                <w:rFonts w:ascii="宋体" w:hAnsi="宋体" w:cs="宋体"/>
                <w:color w:val="00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exact"/>
        </w:trPr>
        <w:tc>
          <w:tcPr>
            <w:tcW w:w="1569" w:type="pct"/>
            <w:gridSpan w:val="2"/>
            <w:shd w:val="clear" w:color="auto" w:fill="auto"/>
            <w:noWrap/>
            <w:tcMar>
              <w:top w:w="8" w:type="dxa"/>
              <w:left w:w="8" w:type="dxa"/>
              <w:right w:w="8" w:type="dxa"/>
            </w:tcMar>
            <w:vAlign w:val="bottom"/>
          </w:tcPr>
          <w:p>
            <w:pPr>
              <w:widowControl/>
              <w:spacing w:line="360" w:lineRule="auto"/>
              <w:jc w:val="center"/>
              <w:textAlignment w:val="bottom"/>
              <w:rPr>
                <w:rFonts w:ascii="宋体" w:hAnsi="宋体" w:cs="宋体"/>
                <w:color w:val="000000"/>
                <w:szCs w:val="21"/>
              </w:rPr>
            </w:pPr>
            <w:r>
              <w:rPr>
                <w:rFonts w:hint="eastAsia" w:ascii="宋体" w:hAnsi="宋体" w:cs="宋体"/>
                <w:b/>
                <w:bCs/>
                <w:color w:val="000000"/>
                <w:szCs w:val="21"/>
              </w:rPr>
              <w:t>合  计</w:t>
            </w:r>
          </w:p>
        </w:tc>
        <w:tc>
          <w:tcPr>
            <w:tcW w:w="1107" w:type="pct"/>
            <w:shd w:val="clear" w:color="auto" w:fill="auto"/>
            <w:noWrap/>
            <w:tcMar>
              <w:top w:w="8" w:type="dxa"/>
              <w:left w:w="8" w:type="dxa"/>
              <w:right w:w="8" w:type="dxa"/>
            </w:tcMar>
            <w:vAlign w:val="bottom"/>
          </w:tcPr>
          <w:p>
            <w:pPr>
              <w:widowControl/>
              <w:spacing w:line="360" w:lineRule="auto"/>
              <w:jc w:val="right"/>
              <w:textAlignment w:val="bottom"/>
              <w:rPr>
                <w:rFonts w:ascii="宋体" w:hAnsi="宋体" w:cs="宋体"/>
                <w:szCs w:val="21"/>
              </w:rPr>
            </w:pPr>
            <w:r>
              <w:rPr>
                <w:rFonts w:hint="eastAsia" w:ascii="宋体" w:hAnsi="宋体" w:cs="宋体"/>
                <w:szCs w:val="21"/>
              </w:rPr>
              <w:t>3,645,597.67</w:t>
            </w:r>
          </w:p>
        </w:tc>
        <w:tc>
          <w:tcPr>
            <w:tcW w:w="2324" w:type="pct"/>
            <w:shd w:val="clear" w:color="auto" w:fill="auto"/>
            <w:noWrap/>
            <w:tcMar>
              <w:top w:w="8" w:type="dxa"/>
              <w:left w:w="8" w:type="dxa"/>
              <w:right w:w="8" w:type="dxa"/>
            </w:tcMar>
            <w:vAlign w:val="bottom"/>
          </w:tcPr>
          <w:p>
            <w:pPr>
              <w:widowControl/>
              <w:spacing w:line="360" w:lineRule="auto"/>
              <w:jc w:val="left"/>
              <w:textAlignment w:val="bottom"/>
              <w:rPr>
                <w:rFonts w:ascii="宋体" w:hAnsi="宋体" w:cs="宋体"/>
                <w:color w:val="000000"/>
                <w:kern w:val="0"/>
                <w:szCs w:val="21"/>
              </w:rPr>
            </w:pPr>
          </w:p>
        </w:tc>
      </w:tr>
    </w:tbl>
    <w:p>
      <w:pPr>
        <w:spacing w:line="540" w:lineRule="exact"/>
        <w:ind w:firstLine="562" w:firstLineChars="200"/>
        <w:rPr>
          <w:rFonts w:ascii="宋体" w:hAnsi="宋体" w:cs="仿宋"/>
          <w:b/>
          <w:bCs/>
          <w:sz w:val="28"/>
          <w:szCs w:val="28"/>
        </w:rPr>
      </w:pPr>
      <w:bookmarkStart w:id="60" w:name="_Toc11350_WPSOffice_Level3"/>
      <w:bookmarkStart w:id="61" w:name="_Toc28297_WPSOffice_Level3"/>
      <w:r>
        <w:rPr>
          <w:rFonts w:hint="eastAsia" w:ascii="宋体" w:hAnsi="宋体" w:cs="仿宋"/>
          <w:b/>
          <w:bCs/>
          <w:sz w:val="28"/>
          <w:szCs w:val="28"/>
        </w:rPr>
        <w:t>2、</w:t>
      </w:r>
      <w:bookmarkEnd w:id="60"/>
      <w:bookmarkEnd w:id="61"/>
      <w:r>
        <w:rPr>
          <w:rFonts w:hint="eastAsia" w:ascii="宋体" w:hAnsi="宋体" w:cs="仿宋"/>
          <w:b/>
          <w:bCs/>
          <w:sz w:val="28"/>
          <w:szCs w:val="28"/>
        </w:rPr>
        <w:t>项目资金使用情况</w:t>
      </w:r>
    </w:p>
    <w:p>
      <w:pPr>
        <w:spacing w:line="540" w:lineRule="exact"/>
        <w:ind w:firstLine="560" w:firstLineChars="200"/>
        <w:rPr>
          <w:rFonts w:ascii="宋体" w:hAnsi="宋体" w:cs="仿宋"/>
          <w:sz w:val="28"/>
          <w:szCs w:val="28"/>
        </w:rPr>
      </w:pPr>
      <w:r>
        <w:rPr>
          <w:rFonts w:hint="eastAsia" w:ascii="宋体" w:hAnsi="宋体" w:cs="仿宋"/>
          <w:sz w:val="28"/>
          <w:szCs w:val="28"/>
        </w:rPr>
        <w:t>截止2022年1月，项目实际支出346.86万元，其中：设计费4.5万元；可研费1.2万元；工程施工费336.17万元（按进度分3次拨付）；工程监理费5万元。17.69万元工程款尚未支付，系工程质保金。</w:t>
      </w:r>
    </w:p>
    <w:p>
      <w:pPr>
        <w:adjustRightInd w:val="0"/>
        <w:snapToGrid w:val="0"/>
        <w:spacing w:line="540" w:lineRule="exact"/>
        <w:ind w:firstLine="560" w:firstLineChars="200"/>
        <w:rPr>
          <w:rFonts w:ascii="Arial Narrow" w:hAnsi="Arial Narrow" w:cs="Arial" w:eastAsiaTheme="minorEastAsia"/>
          <w:bCs/>
          <w:sz w:val="24"/>
        </w:rPr>
      </w:pPr>
      <w:r>
        <w:rPr>
          <w:rFonts w:hint="eastAsia" w:ascii="宋体" w:hAnsi="宋体" w:cs="仿宋"/>
          <w:sz w:val="28"/>
          <w:szCs w:val="28"/>
        </w:rPr>
        <w:t xml:space="preserve">具体支出明细见下表：                            </w:t>
      </w:r>
      <w:r>
        <w:rPr>
          <w:rFonts w:hint="eastAsia" w:ascii="宋体" w:hAnsi="宋体" w:cs="仿宋"/>
          <w:szCs w:val="21"/>
        </w:rPr>
        <w:t>单位：元</w:t>
      </w:r>
    </w:p>
    <w:tbl>
      <w:tblPr>
        <w:tblStyle w:val="11"/>
        <w:tblW w:w="8486" w:type="dxa"/>
        <w:tblInd w:w="0" w:type="dxa"/>
        <w:tblLayout w:type="fixed"/>
        <w:tblCellMar>
          <w:top w:w="0" w:type="dxa"/>
          <w:left w:w="0" w:type="dxa"/>
          <w:bottom w:w="0" w:type="dxa"/>
          <w:right w:w="0" w:type="dxa"/>
        </w:tblCellMar>
      </w:tblPr>
      <w:tblGrid>
        <w:gridCol w:w="536"/>
        <w:gridCol w:w="4434"/>
        <w:gridCol w:w="1701"/>
        <w:gridCol w:w="1815"/>
      </w:tblGrid>
      <w:tr>
        <w:tblPrEx>
          <w:tblCellMar>
            <w:top w:w="0" w:type="dxa"/>
            <w:left w:w="0" w:type="dxa"/>
            <w:bottom w:w="0" w:type="dxa"/>
            <w:right w:w="0" w:type="dxa"/>
          </w:tblCellMar>
        </w:tblPrEx>
        <w:trPr>
          <w:trHeight w:val="315"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bottom"/>
              <w:rPr>
                <w:rFonts w:ascii="宋体" w:hAnsi="宋体" w:cs="宋体"/>
                <w:b/>
                <w:color w:val="000000"/>
                <w:szCs w:val="21"/>
              </w:rPr>
            </w:pPr>
            <w:r>
              <w:rPr>
                <w:rFonts w:hint="eastAsia" w:ascii="宋体" w:hAnsi="宋体" w:cs="宋体"/>
                <w:b/>
                <w:color w:val="000000"/>
                <w:szCs w:val="21"/>
              </w:rPr>
              <w:t>序号</w:t>
            </w:r>
          </w:p>
        </w:tc>
        <w:tc>
          <w:tcPr>
            <w:tcW w:w="4434"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bottom"/>
              <w:rPr>
                <w:rFonts w:ascii="宋体" w:hAnsi="宋体" w:cs="宋体"/>
                <w:b/>
                <w:color w:val="000000"/>
                <w:szCs w:val="21"/>
              </w:rPr>
            </w:pPr>
            <w:r>
              <w:rPr>
                <w:rFonts w:hint="eastAsia" w:ascii="宋体" w:hAnsi="宋体" w:cs="宋体"/>
                <w:b/>
                <w:color w:val="000000"/>
                <w:szCs w:val="21"/>
              </w:rPr>
              <w:t>内容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bottom"/>
              <w:rPr>
                <w:rFonts w:ascii="宋体" w:hAnsi="宋体" w:cs="宋体"/>
                <w:b/>
                <w:color w:val="000000"/>
                <w:szCs w:val="21"/>
              </w:rPr>
            </w:pPr>
            <w:r>
              <w:rPr>
                <w:rFonts w:hint="eastAsia" w:ascii="宋体" w:hAnsi="宋体" w:cs="宋体"/>
                <w:b/>
                <w:color w:val="000000"/>
                <w:szCs w:val="21"/>
              </w:rPr>
              <w:t>金额</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spacing w:line="360" w:lineRule="auto"/>
              <w:jc w:val="center"/>
              <w:textAlignment w:val="bottom"/>
              <w:rPr>
                <w:rFonts w:ascii="宋体" w:hAnsi="宋体" w:cs="宋体"/>
                <w:b/>
                <w:color w:val="000000"/>
                <w:szCs w:val="21"/>
              </w:rPr>
            </w:pPr>
            <w:r>
              <w:rPr>
                <w:rFonts w:hint="eastAsia" w:ascii="宋体" w:hAnsi="宋体" w:cs="宋体"/>
                <w:b/>
                <w:color w:val="000000"/>
                <w:szCs w:val="21"/>
              </w:rPr>
              <w:t>凭证号</w:t>
            </w:r>
          </w:p>
        </w:tc>
      </w:tr>
      <w:tr>
        <w:tblPrEx>
          <w:tblCellMar>
            <w:top w:w="0" w:type="dxa"/>
            <w:left w:w="0" w:type="dxa"/>
            <w:bottom w:w="0" w:type="dxa"/>
            <w:right w:w="0" w:type="dxa"/>
          </w:tblCellMar>
        </w:tblPrEx>
        <w:trPr>
          <w:trHeight w:val="315"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center"/>
              <w:textAlignment w:val="bottom"/>
              <w:rPr>
                <w:rFonts w:ascii="宋体" w:hAnsi="宋体" w:cs="宋体"/>
                <w:bCs/>
                <w:color w:val="000000"/>
                <w:szCs w:val="21"/>
              </w:rPr>
            </w:pPr>
            <w:r>
              <w:rPr>
                <w:rFonts w:hint="eastAsia" w:ascii="宋体" w:hAnsi="宋体" w:cs="宋体"/>
                <w:bCs/>
                <w:color w:val="000000"/>
                <w:szCs w:val="21"/>
              </w:rPr>
              <w:t>1</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left"/>
              <w:textAlignment w:val="bottom"/>
              <w:rPr>
                <w:rFonts w:ascii="宋体" w:hAnsi="宋体" w:cs="宋体"/>
                <w:bCs/>
                <w:color w:val="000000"/>
                <w:szCs w:val="21"/>
              </w:rPr>
            </w:pPr>
            <w:r>
              <w:rPr>
                <w:rFonts w:hint="eastAsia" w:ascii="宋体" w:hAnsi="宋体" w:cs="宋体"/>
                <w:bCs/>
                <w:color w:val="000000"/>
                <w:szCs w:val="21"/>
              </w:rPr>
              <w:t>支付湖南新源茂工程咨询有限公司可研费用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right"/>
              <w:textAlignment w:val="bottom"/>
              <w:rPr>
                <w:rFonts w:ascii="宋体" w:hAnsi="宋体" w:cs="宋体"/>
                <w:bCs/>
                <w:color w:val="000000"/>
                <w:szCs w:val="21"/>
              </w:rPr>
            </w:pPr>
            <w:r>
              <w:rPr>
                <w:rFonts w:hint="eastAsia" w:ascii="宋体" w:hAnsi="宋体" w:cs="宋体"/>
                <w:bCs/>
                <w:color w:val="000000"/>
                <w:szCs w:val="21"/>
              </w:rPr>
              <w:t xml:space="preserve">12,000.00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center"/>
              <w:textAlignment w:val="bottom"/>
              <w:rPr>
                <w:rFonts w:ascii="宋体" w:hAnsi="宋体" w:cs="宋体"/>
                <w:bCs/>
                <w:color w:val="000000"/>
                <w:szCs w:val="21"/>
              </w:rPr>
            </w:pPr>
            <w:r>
              <w:rPr>
                <w:rFonts w:ascii="宋体" w:hAnsi="宋体" w:cs="宋体"/>
                <w:bCs/>
                <w:color w:val="000000"/>
                <w:szCs w:val="21"/>
              </w:rPr>
              <w:t>2020-12-12#</w:t>
            </w:r>
          </w:p>
        </w:tc>
      </w:tr>
      <w:tr>
        <w:tblPrEx>
          <w:tblCellMar>
            <w:top w:w="0" w:type="dxa"/>
            <w:left w:w="0" w:type="dxa"/>
            <w:bottom w:w="0" w:type="dxa"/>
            <w:right w:w="0" w:type="dxa"/>
          </w:tblCellMar>
        </w:tblPrEx>
        <w:trPr>
          <w:trHeight w:val="315"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center"/>
              <w:textAlignment w:val="bottom"/>
              <w:rPr>
                <w:rFonts w:ascii="宋体" w:hAnsi="宋体" w:cs="宋体"/>
                <w:bCs/>
                <w:color w:val="000000"/>
                <w:szCs w:val="21"/>
              </w:rPr>
            </w:pPr>
            <w:r>
              <w:rPr>
                <w:rFonts w:hint="eastAsia" w:ascii="宋体" w:hAnsi="宋体" w:cs="宋体"/>
                <w:bCs/>
                <w:color w:val="000000"/>
                <w:szCs w:val="21"/>
              </w:rPr>
              <w:t>2</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left"/>
              <w:textAlignment w:val="bottom"/>
              <w:rPr>
                <w:rFonts w:ascii="宋体" w:hAnsi="宋体" w:cs="宋体"/>
                <w:bCs/>
                <w:color w:val="000000"/>
                <w:szCs w:val="21"/>
              </w:rPr>
            </w:pPr>
            <w:r>
              <w:rPr>
                <w:rFonts w:hint="eastAsia" w:ascii="宋体" w:hAnsi="宋体" w:cs="宋体"/>
                <w:bCs/>
                <w:color w:val="000000"/>
                <w:szCs w:val="21"/>
              </w:rPr>
              <w:t>支付湖南鑫水工程勘测设计有限公司设计费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right"/>
              <w:textAlignment w:val="bottom"/>
              <w:rPr>
                <w:rFonts w:ascii="宋体" w:hAnsi="宋体" w:cs="宋体"/>
                <w:bCs/>
                <w:color w:val="000000"/>
                <w:szCs w:val="21"/>
              </w:rPr>
            </w:pPr>
            <w:r>
              <w:rPr>
                <w:rFonts w:hint="eastAsia" w:ascii="宋体" w:hAnsi="宋体" w:cs="宋体"/>
                <w:bCs/>
                <w:color w:val="000000"/>
                <w:szCs w:val="21"/>
              </w:rPr>
              <w:t xml:space="preserve">45,000.00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center"/>
              <w:textAlignment w:val="bottom"/>
              <w:rPr>
                <w:rFonts w:ascii="宋体" w:hAnsi="宋体" w:cs="宋体"/>
                <w:bCs/>
                <w:color w:val="000000"/>
                <w:szCs w:val="21"/>
              </w:rPr>
            </w:pPr>
            <w:r>
              <w:rPr>
                <w:rFonts w:ascii="宋体" w:hAnsi="宋体" w:cs="宋体"/>
                <w:bCs/>
                <w:color w:val="000000"/>
                <w:szCs w:val="21"/>
              </w:rPr>
              <w:t>2020-12-43#</w:t>
            </w:r>
          </w:p>
        </w:tc>
      </w:tr>
      <w:tr>
        <w:tblPrEx>
          <w:tblCellMar>
            <w:top w:w="0" w:type="dxa"/>
            <w:left w:w="0" w:type="dxa"/>
            <w:bottom w:w="0" w:type="dxa"/>
            <w:right w:w="0" w:type="dxa"/>
          </w:tblCellMar>
        </w:tblPrEx>
        <w:trPr>
          <w:trHeight w:val="315"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center"/>
              <w:textAlignment w:val="bottom"/>
              <w:rPr>
                <w:rFonts w:ascii="宋体" w:hAnsi="宋体" w:cs="宋体"/>
                <w:bCs/>
                <w:color w:val="000000"/>
                <w:szCs w:val="21"/>
              </w:rPr>
            </w:pPr>
            <w:r>
              <w:rPr>
                <w:rFonts w:hint="eastAsia" w:ascii="宋体" w:hAnsi="宋体" w:cs="宋体"/>
                <w:bCs/>
                <w:color w:val="000000"/>
                <w:szCs w:val="21"/>
              </w:rPr>
              <w:t>3</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left"/>
              <w:textAlignment w:val="bottom"/>
              <w:rPr>
                <w:rFonts w:ascii="宋体" w:hAnsi="宋体" w:cs="宋体"/>
                <w:bCs/>
                <w:color w:val="000000"/>
                <w:szCs w:val="21"/>
              </w:rPr>
            </w:pPr>
            <w:r>
              <w:rPr>
                <w:rFonts w:hint="eastAsia" w:ascii="宋体" w:hAnsi="宋体" w:cs="宋体"/>
                <w:bCs/>
                <w:color w:val="000000"/>
                <w:szCs w:val="21"/>
              </w:rPr>
              <w:t>支付湖南天福项目管理有限公司监理费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right"/>
              <w:textAlignment w:val="bottom"/>
              <w:rPr>
                <w:rFonts w:ascii="宋体" w:hAnsi="宋体" w:cs="宋体"/>
                <w:bCs/>
                <w:color w:val="000000"/>
                <w:szCs w:val="21"/>
              </w:rPr>
            </w:pPr>
            <w:r>
              <w:rPr>
                <w:rFonts w:hint="eastAsia" w:ascii="宋体" w:hAnsi="宋体" w:cs="宋体"/>
                <w:bCs/>
                <w:color w:val="000000"/>
                <w:szCs w:val="21"/>
              </w:rPr>
              <w:t xml:space="preserve">50,000.00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center"/>
              <w:textAlignment w:val="bottom"/>
              <w:rPr>
                <w:rFonts w:ascii="宋体" w:hAnsi="宋体" w:cs="宋体"/>
                <w:bCs/>
                <w:color w:val="000000"/>
                <w:szCs w:val="21"/>
              </w:rPr>
            </w:pPr>
            <w:r>
              <w:rPr>
                <w:rFonts w:ascii="宋体" w:hAnsi="宋体" w:cs="宋体"/>
                <w:bCs/>
                <w:color w:val="000000"/>
                <w:szCs w:val="21"/>
              </w:rPr>
              <w:t>2021-6-3#</w:t>
            </w:r>
          </w:p>
        </w:tc>
      </w:tr>
      <w:tr>
        <w:tblPrEx>
          <w:tblCellMar>
            <w:top w:w="0" w:type="dxa"/>
            <w:left w:w="0" w:type="dxa"/>
            <w:bottom w:w="0" w:type="dxa"/>
            <w:right w:w="0" w:type="dxa"/>
          </w:tblCellMar>
        </w:tblPrEx>
        <w:trPr>
          <w:trHeight w:val="315"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center"/>
              <w:textAlignment w:val="bottom"/>
              <w:rPr>
                <w:rFonts w:ascii="宋体" w:hAnsi="宋体" w:cs="宋体"/>
                <w:bCs/>
                <w:color w:val="000000"/>
                <w:szCs w:val="21"/>
              </w:rPr>
            </w:pPr>
            <w:r>
              <w:rPr>
                <w:rFonts w:hint="eastAsia" w:ascii="宋体" w:hAnsi="宋体" w:cs="宋体"/>
                <w:bCs/>
                <w:color w:val="000000"/>
                <w:szCs w:val="21"/>
              </w:rPr>
              <w:t>4</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left"/>
              <w:textAlignment w:val="bottom"/>
              <w:rPr>
                <w:rFonts w:ascii="宋体" w:hAnsi="宋体" w:cs="宋体"/>
                <w:bCs/>
                <w:color w:val="000000"/>
                <w:szCs w:val="21"/>
              </w:rPr>
            </w:pPr>
            <w:r>
              <w:rPr>
                <w:rFonts w:hint="eastAsia" w:ascii="宋体" w:hAnsi="宋体" w:cs="宋体"/>
                <w:bCs/>
                <w:color w:val="000000"/>
                <w:szCs w:val="21"/>
              </w:rPr>
              <w:t>支付岳阳市云溪区建筑工程总公司工程款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right"/>
              <w:textAlignment w:val="bottom"/>
              <w:rPr>
                <w:rFonts w:ascii="宋体" w:hAnsi="宋体" w:cs="宋体"/>
                <w:bCs/>
                <w:color w:val="000000"/>
                <w:szCs w:val="21"/>
              </w:rPr>
            </w:pPr>
            <w:r>
              <w:rPr>
                <w:rFonts w:hint="eastAsia" w:ascii="宋体" w:hAnsi="宋体" w:cs="宋体"/>
                <w:bCs/>
                <w:color w:val="000000"/>
                <w:szCs w:val="21"/>
              </w:rPr>
              <w:t xml:space="preserve">1,080,000.00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center"/>
              <w:textAlignment w:val="bottom"/>
              <w:rPr>
                <w:rFonts w:ascii="宋体" w:hAnsi="宋体" w:cs="宋体"/>
                <w:bCs/>
                <w:color w:val="000000"/>
                <w:szCs w:val="21"/>
              </w:rPr>
            </w:pPr>
            <w:r>
              <w:rPr>
                <w:rFonts w:hint="eastAsia" w:ascii="宋体" w:hAnsi="宋体" w:cs="宋体"/>
                <w:bCs/>
                <w:color w:val="000000"/>
                <w:szCs w:val="21"/>
              </w:rPr>
              <w:t>2021-6-2#</w:t>
            </w:r>
          </w:p>
        </w:tc>
      </w:tr>
      <w:tr>
        <w:tblPrEx>
          <w:tblCellMar>
            <w:top w:w="0" w:type="dxa"/>
            <w:left w:w="0" w:type="dxa"/>
            <w:bottom w:w="0" w:type="dxa"/>
            <w:right w:w="0" w:type="dxa"/>
          </w:tblCellMar>
        </w:tblPrEx>
        <w:trPr>
          <w:trHeight w:val="315"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center"/>
              <w:textAlignment w:val="bottom"/>
              <w:rPr>
                <w:rFonts w:ascii="宋体" w:hAnsi="宋体" w:cs="宋体"/>
                <w:bCs/>
                <w:color w:val="000000"/>
                <w:szCs w:val="21"/>
              </w:rPr>
            </w:pPr>
            <w:r>
              <w:rPr>
                <w:rFonts w:hint="eastAsia" w:ascii="宋体" w:hAnsi="宋体" w:cs="宋体"/>
                <w:bCs/>
                <w:color w:val="000000"/>
                <w:szCs w:val="21"/>
              </w:rPr>
              <w:t>5</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left"/>
              <w:textAlignment w:val="bottom"/>
              <w:rPr>
                <w:rFonts w:ascii="宋体" w:hAnsi="宋体" w:cs="宋体"/>
                <w:bCs/>
                <w:color w:val="000000"/>
                <w:szCs w:val="21"/>
              </w:rPr>
            </w:pPr>
            <w:r>
              <w:rPr>
                <w:rFonts w:hint="eastAsia" w:ascii="宋体" w:hAnsi="宋体" w:cs="宋体"/>
                <w:bCs/>
                <w:color w:val="000000"/>
                <w:szCs w:val="21"/>
              </w:rPr>
              <w:t>支付云溪区建筑工程总公司工程款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right"/>
              <w:textAlignment w:val="bottom"/>
              <w:rPr>
                <w:rFonts w:ascii="宋体" w:hAnsi="宋体" w:cs="宋体"/>
                <w:bCs/>
                <w:color w:val="000000"/>
                <w:szCs w:val="21"/>
              </w:rPr>
            </w:pPr>
            <w:r>
              <w:rPr>
                <w:rFonts w:hint="eastAsia" w:ascii="宋体" w:hAnsi="宋体" w:cs="宋体"/>
                <w:bCs/>
                <w:color w:val="000000"/>
                <w:szCs w:val="21"/>
              </w:rPr>
              <w:t xml:space="preserve">1,050,000.00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center"/>
              <w:textAlignment w:val="bottom"/>
              <w:rPr>
                <w:rFonts w:ascii="宋体" w:hAnsi="宋体" w:cs="宋体"/>
                <w:bCs/>
                <w:color w:val="000000"/>
                <w:szCs w:val="21"/>
              </w:rPr>
            </w:pPr>
            <w:r>
              <w:rPr>
                <w:rFonts w:hint="eastAsia" w:ascii="宋体" w:hAnsi="宋体" w:cs="宋体"/>
                <w:bCs/>
                <w:color w:val="000000"/>
                <w:szCs w:val="21"/>
              </w:rPr>
              <w:t>2021-1-2#</w:t>
            </w:r>
          </w:p>
        </w:tc>
      </w:tr>
      <w:tr>
        <w:tblPrEx>
          <w:tblCellMar>
            <w:top w:w="0" w:type="dxa"/>
            <w:left w:w="0" w:type="dxa"/>
            <w:bottom w:w="0" w:type="dxa"/>
            <w:right w:w="0" w:type="dxa"/>
          </w:tblCellMar>
        </w:tblPrEx>
        <w:trPr>
          <w:trHeight w:val="315"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center"/>
              <w:textAlignment w:val="bottom"/>
              <w:rPr>
                <w:rFonts w:ascii="宋体" w:hAnsi="宋体" w:cs="宋体"/>
                <w:bCs/>
                <w:color w:val="000000"/>
                <w:szCs w:val="21"/>
              </w:rPr>
            </w:pPr>
            <w:r>
              <w:rPr>
                <w:rFonts w:hint="eastAsia" w:ascii="宋体" w:hAnsi="宋体" w:cs="宋体"/>
                <w:bCs/>
                <w:color w:val="000000"/>
                <w:szCs w:val="21"/>
              </w:rPr>
              <w:t>6</w:t>
            </w:r>
          </w:p>
        </w:tc>
        <w:tc>
          <w:tcPr>
            <w:tcW w:w="443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left"/>
              <w:textAlignment w:val="bottom"/>
              <w:rPr>
                <w:rFonts w:ascii="宋体" w:hAnsi="宋体" w:cs="宋体"/>
                <w:bCs/>
                <w:color w:val="000000"/>
                <w:szCs w:val="21"/>
              </w:rPr>
            </w:pPr>
            <w:r>
              <w:rPr>
                <w:rFonts w:hint="eastAsia" w:ascii="宋体" w:hAnsi="宋体" w:cs="宋体"/>
                <w:bCs/>
                <w:color w:val="000000"/>
                <w:szCs w:val="21"/>
              </w:rPr>
              <w:t>支付云溪区云箭建筑工程有限责任公司工程款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right"/>
              <w:textAlignment w:val="bottom"/>
              <w:rPr>
                <w:rFonts w:ascii="宋体" w:hAnsi="宋体" w:cs="宋体"/>
                <w:bCs/>
                <w:color w:val="000000"/>
                <w:szCs w:val="21"/>
              </w:rPr>
            </w:pPr>
            <w:r>
              <w:rPr>
                <w:rFonts w:hint="eastAsia" w:ascii="宋体" w:hAnsi="宋体" w:cs="宋体"/>
                <w:bCs/>
                <w:color w:val="000000"/>
                <w:szCs w:val="21"/>
              </w:rPr>
              <w:t xml:space="preserve">1,231,667.78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center"/>
              <w:textAlignment w:val="bottom"/>
              <w:rPr>
                <w:rFonts w:ascii="宋体" w:hAnsi="宋体" w:cs="宋体"/>
                <w:bCs/>
                <w:color w:val="000000"/>
                <w:szCs w:val="21"/>
              </w:rPr>
            </w:pPr>
            <w:r>
              <w:rPr>
                <w:rFonts w:hint="eastAsia" w:ascii="宋体" w:hAnsi="宋体" w:cs="宋体"/>
                <w:bCs/>
                <w:color w:val="000000"/>
                <w:szCs w:val="21"/>
              </w:rPr>
              <w:t>2022-1-5#</w:t>
            </w:r>
          </w:p>
        </w:tc>
      </w:tr>
      <w:tr>
        <w:tblPrEx>
          <w:tblCellMar>
            <w:top w:w="0" w:type="dxa"/>
            <w:left w:w="0" w:type="dxa"/>
            <w:bottom w:w="0" w:type="dxa"/>
            <w:right w:w="0" w:type="dxa"/>
          </w:tblCellMar>
        </w:tblPrEx>
        <w:trPr>
          <w:trHeight w:val="315" w:hRule="atLeast"/>
        </w:trPr>
        <w:tc>
          <w:tcPr>
            <w:tcW w:w="49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center"/>
              <w:textAlignment w:val="bottom"/>
              <w:rPr>
                <w:rFonts w:ascii="宋体" w:hAnsi="宋体" w:cs="宋体"/>
                <w:b/>
                <w:color w:val="000000"/>
                <w:szCs w:val="21"/>
              </w:rPr>
            </w:pPr>
            <w:r>
              <w:rPr>
                <w:rFonts w:hint="eastAsia" w:ascii="宋体" w:hAnsi="宋体" w:cs="宋体"/>
                <w:b/>
                <w:color w:val="000000"/>
                <w:szCs w:val="21"/>
              </w:rPr>
              <w:t>合计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right"/>
              <w:textAlignment w:val="bottom"/>
              <w:rPr>
                <w:rFonts w:ascii="宋体" w:hAnsi="宋体" w:cs="宋体"/>
                <w:b/>
                <w:color w:val="000000"/>
                <w:szCs w:val="21"/>
              </w:rPr>
            </w:pPr>
            <w:r>
              <w:rPr>
                <w:rFonts w:hint="eastAsia" w:ascii="宋体" w:hAnsi="宋体" w:cs="宋体"/>
                <w:b/>
                <w:color w:val="000000"/>
                <w:szCs w:val="21"/>
              </w:rPr>
              <w:t xml:space="preserve">3,468,667.78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spacing w:line="360" w:lineRule="auto"/>
              <w:jc w:val="center"/>
              <w:textAlignment w:val="bottom"/>
              <w:rPr>
                <w:rFonts w:ascii="宋体" w:hAnsi="宋体" w:cs="宋体"/>
                <w:b/>
                <w:color w:val="000000"/>
                <w:szCs w:val="21"/>
              </w:rPr>
            </w:pPr>
          </w:p>
        </w:tc>
      </w:tr>
    </w:tbl>
    <w:p>
      <w:pPr>
        <w:spacing w:line="540" w:lineRule="exact"/>
        <w:ind w:firstLine="562" w:firstLineChars="200"/>
        <w:rPr>
          <w:rFonts w:ascii="宋体" w:hAnsi="宋体" w:cs="仿宋"/>
          <w:b/>
          <w:bCs/>
          <w:sz w:val="28"/>
          <w:szCs w:val="28"/>
        </w:rPr>
      </w:pPr>
      <w:r>
        <w:rPr>
          <w:rFonts w:hint="eastAsia" w:ascii="宋体" w:hAnsi="宋体" w:cs="仿宋"/>
          <w:b/>
          <w:bCs/>
          <w:sz w:val="28"/>
          <w:szCs w:val="28"/>
        </w:rPr>
        <w:t>3、项目资金管理情况</w:t>
      </w:r>
    </w:p>
    <w:p>
      <w:pPr>
        <w:spacing w:line="540" w:lineRule="exact"/>
        <w:ind w:firstLine="564"/>
        <w:rPr>
          <w:rFonts w:ascii="宋体" w:hAnsi="宋体" w:cs="仿宋"/>
          <w:sz w:val="28"/>
          <w:szCs w:val="28"/>
        </w:rPr>
      </w:pPr>
      <w:r>
        <w:rPr>
          <w:rFonts w:hint="eastAsia" w:ascii="宋体" w:hAnsi="宋体" w:cs="仿宋"/>
          <w:sz w:val="28"/>
          <w:szCs w:val="28"/>
        </w:rPr>
        <w:t>按照《云溪街道财政财务管理制度》和《云溪街道专项资金管理制度》的规定，专项支出按程序进行拨付和管理，实行专款专用。工程项目预算、决算均通过区财政投资评审中心评审，能按照工程进度支付工程款。未发现白条入账和挪用、挤占、截留项目资金的现象。但项目未专账核算，存在部分费用与其他项目混同支出的情况。工程项目</w:t>
      </w:r>
      <w:r>
        <w:rPr>
          <w:rFonts w:hint="eastAsia" w:ascii="宋体" w:hAnsi="宋体" w:cs="仿宋"/>
          <w:color w:val="000000"/>
          <w:sz w:val="28"/>
          <w:szCs w:val="28"/>
        </w:rPr>
        <w:t>未进行竣工财务决算审计。</w:t>
      </w:r>
    </w:p>
    <w:p>
      <w:pPr>
        <w:pStyle w:val="10"/>
        <w:widowControl/>
        <w:spacing w:line="540" w:lineRule="exact"/>
        <w:ind w:firstLine="562" w:firstLineChars="200"/>
        <w:rPr>
          <w:rStyle w:val="15"/>
          <w:rFonts w:ascii="宋体" w:hAnsi="宋体" w:eastAsia="宋体" w:cs="仿宋"/>
          <w:sz w:val="28"/>
          <w:szCs w:val="28"/>
        </w:rPr>
      </w:pPr>
      <w:bookmarkStart w:id="62" w:name="_Toc19143_WPSOffice_Level2"/>
      <w:bookmarkStart w:id="63" w:name="_Toc25656_WPSOffice_Level2"/>
      <w:bookmarkStart w:id="64" w:name="_Toc18567_WPSOffice_Level2"/>
      <w:bookmarkStart w:id="65" w:name="_Toc1660"/>
      <w:bookmarkStart w:id="66" w:name="_Toc23591"/>
      <w:bookmarkStart w:id="67" w:name="_Toc19690"/>
      <w:r>
        <w:rPr>
          <w:rStyle w:val="15"/>
          <w:rFonts w:hint="eastAsia" w:ascii="宋体" w:hAnsi="宋体" w:eastAsia="宋体" w:cs="仿宋"/>
          <w:sz w:val="28"/>
          <w:szCs w:val="28"/>
        </w:rPr>
        <w:t>（二）项目</w:t>
      </w:r>
      <w:bookmarkEnd w:id="62"/>
      <w:bookmarkEnd w:id="63"/>
      <w:bookmarkEnd w:id="64"/>
      <w:r>
        <w:rPr>
          <w:rStyle w:val="15"/>
          <w:rFonts w:hint="eastAsia" w:ascii="宋体" w:hAnsi="宋体" w:eastAsia="宋体" w:cs="仿宋"/>
          <w:sz w:val="28"/>
          <w:szCs w:val="28"/>
        </w:rPr>
        <w:t>实施情况分析</w:t>
      </w:r>
    </w:p>
    <w:bookmarkEnd w:id="65"/>
    <w:bookmarkEnd w:id="66"/>
    <w:bookmarkEnd w:id="67"/>
    <w:p>
      <w:pPr>
        <w:pStyle w:val="2"/>
        <w:ind w:firstLine="560"/>
        <w:rPr>
          <w:rFonts w:ascii="宋体" w:hAnsi="宋体" w:eastAsia="宋体" w:cs="仿宋"/>
          <w:color w:val="auto"/>
          <w:szCs w:val="28"/>
        </w:rPr>
      </w:pPr>
      <w:bookmarkStart w:id="68" w:name="_Toc32322_WPSOffice_Level3"/>
      <w:bookmarkStart w:id="69" w:name="_Toc18504_WPSOffice_Level3"/>
      <w:r>
        <w:rPr>
          <w:rFonts w:hint="eastAsia" w:ascii="宋体" w:hAnsi="宋体" w:eastAsia="宋体" w:cs="仿宋"/>
          <w:color w:val="auto"/>
          <w:szCs w:val="28"/>
        </w:rPr>
        <w:t>项目由建设单位云溪街道办组织实施，于2020年11月28日开工建设，2020年12月31日完工。2021年10月完成竣工验收并移交至村委会运行管理。2021年12月6日项目通过区财政投资评审中心完成工程结算评审并确定项目结算金额。</w:t>
      </w:r>
    </w:p>
    <w:p>
      <w:pPr>
        <w:spacing w:line="540" w:lineRule="exact"/>
        <w:ind w:firstLine="560" w:firstLineChars="200"/>
        <w:rPr>
          <w:rFonts w:ascii="宋体" w:hAnsi="宋体" w:cs="仿宋"/>
          <w:sz w:val="28"/>
          <w:szCs w:val="28"/>
        </w:rPr>
      </w:pPr>
      <w:r>
        <w:rPr>
          <w:rFonts w:hint="eastAsia" w:ascii="宋体" w:hAnsi="宋体" w:cs="仿宋"/>
          <w:sz w:val="28"/>
          <w:szCs w:val="28"/>
        </w:rPr>
        <w:t>项目经过充分的可行性论证并得到群众的支持和认可，严格按照程序实施。工程施工中云溪街道办严格实行公开招标施工单位，实行工程监理制、合同管理制，规范施工管理。严格执行水利工程建设相关程序，并加强质量监督和财务管理，确保工程质量。但存在工程验收程序不规范、项目公示内容不全等情况。</w:t>
      </w:r>
    </w:p>
    <w:bookmarkEnd w:id="68"/>
    <w:bookmarkEnd w:id="69"/>
    <w:p>
      <w:pPr>
        <w:spacing w:line="540" w:lineRule="exact"/>
        <w:ind w:firstLine="562" w:firstLineChars="200"/>
        <w:rPr>
          <w:rStyle w:val="15"/>
          <w:rFonts w:ascii="宋体" w:hAnsi="宋体" w:eastAsia="宋体" w:cs="仿宋"/>
          <w:sz w:val="28"/>
          <w:szCs w:val="28"/>
        </w:rPr>
      </w:pPr>
      <w:r>
        <w:rPr>
          <w:rStyle w:val="15"/>
          <w:rFonts w:hint="eastAsia" w:ascii="宋体" w:hAnsi="宋体" w:eastAsia="宋体" w:cs="仿宋"/>
          <w:sz w:val="28"/>
          <w:szCs w:val="28"/>
        </w:rPr>
        <w:t>（三）项目绩效情况分析</w:t>
      </w:r>
    </w:p>
    <w:p>
      <w:pPr>
        <w:pStyle w:val="10"/>
        <w:widowControl/>
        <w:spacing w:line="540" w:lineRule="exact"/>
        <w:ind w:firstLine="562" w:firstLineChars="200"/>
        <w:rPr>
          <w:rFonts w:ascii="宋体" w:hAnsi="宋体" w:cs="仿宋"/>
          <w:b/>
          <w:kern w:val="2"/>
          <w:sz w:val="28"/>
          <w:szCs w:val="28"/>
        </w:rPr>
      </w:pPr>
      <w:r>
        <w:rPr>
          <w:rFonts w:hint="eastAsia" w:ascii="宋体" w:hAnsi="宋体" w:cs="仿宋"/>
          <w:b/>
          <w:kern w:val="2"/>
          <w:sz w:val="28"/>
          <w:szCs w:val="28"/>
        </w:rPr>
        <w:t>1、项目产出分析</w:t>
      </w:r>
    </w:p>
    <w:p>
      <w:pPr>
        <w:ind w:firstLine="560" w:firstLineChars="200"/>
        <w:jc w:val="left"/>
        <w:rPr>
          <w:rFonts w:ascii="宋体" w:hAnsi="宋体" w:cs="仿宋"/>
          <w:b/>
          <w:sz w:val="28"/>
          <w:szCs w:val="28"/>
        </w:rPr>
      </w:pPr>
      <w:r>
        <w:rPr>
          <w:rFonts w:hint="eastAsia"/>
          <w:sz w:val="28"/>
          <w:szCs w:val="28"/>
        </w:rPr>
        <w:t>按时完成了双花、清溪村自来水管网建设，铺设主管道及支管、入户管等给水管共22601米，施工路面全部恢复。双花村安装水表后入户98户，清溪村安装水表后入户163户，供水范围涉及双花村7个组943人口和清溪村10个组880人口。</w:t>
      </w:r>
      <w:bookmarkStart w:id="70" w:name="OLE_LINK1"/>
      <w:r>
        <w:rPr>
          <w:rFonts w:hint="eastAsia"/>
          <w:sz w:val="28"/>
          <w:szCs w:val="28"/>
        </w:rPr>
        <w:t>送水管道通过通水测试，无渗漏现象，工程质量达标，水质达标，</w:t>
      </w:r>
      <w:r>
        <w:rPr>
          <w:rFonts w:hint="eastAsia" w:cstheme="minorBidi"/>
          <w:sz w:val="28"/>
          <w:szCs w:val="28"/>
        </w:rPr>
        <w:t>满足了居民生活用水安全要求</w:t>
      </w:r>
      <w:bookmarkEnd w:id="70"/>
      <w:r>
        <w:rPr>
          <w:rFonts w:hint="eastAsia" w:cstheme="minorBidi"/>
          <w:sz w:val="28"/>
          <w:szCs w:val="28"/>
        </w:rPr>
        <w:t>。</w:t>
      </w:r>
    </w:p>
    <w:p>
      <w:pPr>
        <w:pStyle w:val="10"/>
        <w:widowControl/>
        <w:spacing w:line="540" w:lineRule="exact"/>
        <w:ind w:firstLine="562" w:firstLineChars="200"/>
        <w:rPr>
          <w:rFonts w:ascii="宋体" w:hAnsi="宋体" w:cs="仿宋"/>
          <w:b/>
          <w:kern w:val="2"/>
          <w:sz w:val="28"/>
          <w:szCs w:val="28"/>
        </w:rPr>
      </w:pPr>
      <w:r>
        <w:rPr>
          <w:rFonts w:hint="eastAsia" w:ascii="宋体" w:hAnsi="宋体" w:cs="仿宋"/>
          <w:b/>
          <w:kern w:val="2"/>
          <w:sz w:val="28"/>
          <w:szCs w:val="28"/>
        </w:rPr>
        <w:t>2、项目效果分析</w:t>
      </w:r>
    </w:p>
    <w:p>
      <w:pPr>
        <w:pStyle w:val="10"/>
        <w:widowControl/>
        <w:spacing w:line="540" w:lineRule="exact"/>
        <w:ind w:firstLine="560" w:firstLineChars="200"/>
        <w:rPr>
          <w:rFonts w:ascii="宋体" w:hAnsi="宋体" w:cs="仿宋"/>
          <w:color w:val="000000"/>
          <w:sz w:val="28"/>
          <w:szCs w:val="28"/>
        </w:rPr>
      </w:pPr>
      <w:r>
        <w:rPr>
          <w:rFonts w:hint="eastAsia" w:ascii="宋体" w:hAnsi="宋体" w:cs="仿宋"/>
          <w:color w:val="000000"/>
          <w:sz w:val="28"/>
          <w:szCs w:val="28"/>
        </w:rPr>
        <w:t>（1）社会效益：清溪村、双花村联村安全饮水巩固提升</w:t>
      </w:r>
      <w:r>
        <w:rPr>
          <w:rFonts w:ascii="宋体" w:hAnsi="宋体" w:cs="仿宋"/>
          <w:color w:val="000000"/>
          <w:sz w:val="28"/>
          <w:szCs w:val="28"/>
        </w:rPr>
        <w:t>项目的实施，有效改善农村人居环境和设施条件，彻底解决</w:t>
      </w:r>
      <w:r>
        <w:rPr>
          <w:rFonts w:hint="eastAsia" w:ascii="宋体" w:hAnsi="宋体" w:cs="仿宋"/>
          <w:color w:val="000000"/>
          <w:sz w:val="28"/>
          <w:szCs w:val="28"/>
        </w:rPr>
        <w:t>了双花、清溪村17个组1823位</w:t>
      </w:r>
      <w:r>
        <w:rPr>
          <w:rFonts w:ascii="宋体" w:hAnsi="宋体" w:cs="仿宋"/>
          <w:color w:val="000000"/>
          <w:sz w:val="28"/>
          <w:szCs w:val="28"/>
        </w:rPr>
        <w:t>村民饮水安全问题。</w:t>
      </w:r>
    </w:p>
    <w:p>
      <w:pPr>
        <w:pStyle w:val="10"/>
        <w:widowControl/>
        <w:spacing w:line="540" w:lineRule="exact"/>
        <w:ind w:firstLine="560" w:firstLineChars="200"/>
        <w:rPr>
          <w:rFonts w:cstheme="minorBidi"/>
          <w:kern w:val="2"/>
          <w:sz w:val="28"/>
          <w:szCs w:val="28"/>
        </w:rPr>
      </w:pPr>
      <w:r>
        <w:rPr>
          <w:rFonts w:hint="eastAsia" w:ascii="宋体" w:hAnsi="宋体" w:cs="仿宋"/>
          <w:color w:val="000000"/>
          <w:sz w:val="28"/>
          <w:szCs w:val="28"/>
        </w:rPr>
        <w:t>(2)经济效益</w:t>
      </w:r>
      <w:r>
        <w:rPr>
          <w:rFonts w:hint="eastAsia" w:cstheme="minorBidi"/>
          <w:kern w:val="2"/>
          <w:sz w:val="28"/>
          <w:szCs w:val="28"/>
        </w:rPr>
        <w:t>：极大的改善了农村饮水卫生条件，使群众能够吃上符合饮用水卫生标准的安全水、放心水，减少了因水质而患病机会，使农村与水有关的疾病发病率大幅度降低，客观上减轻了农民的经济负担。</w:t>
      </w:r>
    </w:p>
    <w:p>
      <w:pPr>
        <w:pStyle w:val="10"/>
        <w:widowControl/>
        <w:spacing w:line="540" w:lineRule="exact"/>
        <w:ind w:firstLine="420" w:firstLineChars="150"/>
        <w:rPr>
          <w:rFonts w:ascii="宋体" w:hAnsi="宋体" w:cs="仿宋"/>
          <w:color w:val="000000"/>
          <w:sz w:val="28"/>
          <w:szCs w:val="28"/>
        </w:rPr>
      </w:pPr>
      <w:r>
        <w:rPr>
          <w:rFonts w:hint="eastAsia" w:ascii="宋体" w:hAnsi="宋体" w:cs="仿宋"/>
          <w:color w:val="000000"/>
          <w:sz w:val="28"/>
          <w:szCs w:val="28"/>
        </w:rPr>
        <w:t>（3）生态效益：改善了农民用水条件和农村水生态环境、减少了水土流失，降低了水污染。</w:t>
      </w:r>
    </w:p>
    <w:p>
      <w:pPr>
        <w:pStyle w:val="10"/>
        <w:widowControl/>
        <w:spacing w:line="540" w:lineRule="exact"/>
        <w:ind w:firstLine="560" w:firstLineChars="200"/>
        <w:rPr>
          <w:rFonts w:ascii="宋体" w:hAnsi="宋体" w:cs="仿宋"/>
          <w:color w:val="000000"/>
          <w:sz w:val="28"/>
          <w:szCs w:val="28"/>
        </w:rPr>
      </w:pPr>
      <w:r>
        <w:rPr>
          <w:rFonts w:hint="eastAsia" w:ascii="宋体" w:hAnsi="宋体" w:cs="仿宋"/>
          <w:color w:val="000000"/>
          <w:sz w:val="28"/>
          <w:szCs w:val="28"/>
        </w:rPr>
        <w:t>(4) 可持续性影响：</w:t>
      </w:r>
      <w:bookmarkStart w:id="71" w:name="_Toc10212_WPSOffice_Level1"/>
      <w:bookmarkStart w:id="72" w:name="_Toc8743"/>
      <w:bookmarkStart w:id="73" w:name="_Toc28872"/>
      <w:bookmarkStart w:id="74" w:name="_Toc18503_WPSOffice_Level1"/>
      <w:bookmarkStart w:id="75" w:name="_Toc1743"/>
      <w:bookmarkStart w:id="76" w:name="_Toc11044_WPSOffice_Level1"/>
      <w:r>
        <w:rPr>
          <w:rFonts w:hint="eastAsia" w:ascii="宋体" w:hAnsi="宋体" w:cs="仿宋"/>
          <w:color w:val="000000"/>
          <w:sz w:val="28"/>
          <w:szCs w:val="28"/>
        </w:rPr>
        <w:t>解决农村安全饮水问题，进一步改善农村的卫生状况,提高健康水平，缩小城乡生活差距。</w:t>
      </w:r>
    </w:p>
    <w:p>
      <w:pPr>
        <w:pStyle w:val="10"/>
        <w:widowControl/>
        <w:spacing w:line="540" w:lineRule="exact"/>
        <w:ind w:firstLine="420" w:firstLineChars="150"/>
        <w:rPr>
          <w:rFonts w:ascii="宋体" w:hAnsi="宋体" w:cs="仿宋"/>
          <w:color w:val="000000"/>
          <w:sz w:val="28"/>
          <w:szCs w:val="28"/>
        </w:rPr>
      </w:pPr>
      <w:r>
        <w:rPr>
          <w:rFonts w:hint="eastAsia" w:ascii="宋体" w:hAnsi="宋体" w:cs="仿宋"/>
          <w:color w:val="000000"/>
          <w:sz w:val="28"/>
          <w:szCs w:val="28"/>
        </w:rPr>
        <w:t>（5）群众满意度：评价小组通过对清溪村、双花村受益村民发放调查问卷进行现场民意调查，村民对项目的满意度为88%。村民</w:t>
      </w:r>
      <w:bookmarkStart w:id="77" w:name="OLE_LINK2"/>
      <w:r>
        <w:rPr>
          <w:rFonts w:hint="eastAsia" w:ascii="宋体" w:hAnsi="宋体" w:cs="仿宋"/>
          <w:color w:val="000000"/>
          <w:sz w:val="28"/>
          <w:szCs w:val="28"/>
        </w:rPr>
        <w:t>对项目不满意的主要原因一是后续管护和供水问题不能及时有效解决，二是有少部分村民是因以前用水不花钱，而现在用水需要收取入户费和水费，因此对农村安全饮水项目的接受性、积极性不高。</w:t>
      </w:r>
      <w:bookmarkEnd w:id="77"/>
    </w:p>
    <w:p>
      <w:pPr>
        <w:pStyle w:val="10"/>
        <w:widowControl/>
        <w:spacing w:line="540" w:lineRule="exact"/>
        <w:ind w:firstLine="562" w:firstLineChars="200"/>
        <w:rPr>
          <w:rFonts w:ascii="宋体" w:hAnsi="宋体" w:cs="仿宋_GB2312"/>
          <w:sz w:val="28"/>
          <w:szCs w:val="28"/>
        </w:rPr>
      </w:pPr>
      <w:r>
        <w:rPr>
          <w:rStyle w:val="14"/>
          <w:rFonts w:hint="eastAsia" w:ascii="宋体" w:hAnsi="宋体" w:cs="仿宋_GB2312"/>
          <w:sz w:val="28"/>
          <w:szCs w:val="28"/>
        </w:rPr>
        <w:t>四、综合评价结论</w:t>
      </w:r>
      <w:bookmarkEnd w:id="71"/>
      <w:bookmarkEnd w:id="72"/>
      <w:bookmarkEnd w:id="73"/>
      <w:bookmarkEnd w:id="74"/>
      <w:bookmarkEnd w:id="75"/>
      <w:bookmarkEnd w:id="76"/>
    </w:p>
    <w:p>
      <w:pPr>
        <w:spacing w:line="360" w:lineRule="auto"/>
        <w:ind w:firstLine="560" w:firstLineChars="200"/>
        <w:jc w:val="left"/>
        <w:rPr>
          <w:rFonts w:ascii="宋体" w:hAnsi="宋体" w:cs="仿宋"/>
          <w:color w:val="000000"/>
          <w:kern w:val="0"/>
          <w:sz w:val="28"/>
          <w:szCs w:val="28"/>
        </w:rPr>
      </w:pPr>
      <w:r>
        <w:rPr>
          <w:rFonts w:hint="eastAsia" w:ascii="宋体" w:hAnsi="宋体" w:cs="仿宋"/>
          <w:color w:val="000000"/>
          <w:kern w:val="0"/>
          <w:sz w:val="28"/>
          <w:szCs w:val="28"/>
        </w:rPr>
        <w:t>2021年清溪村、双花村联村安全饮水巩固提升项目符合国家政策，资金投入合理，资金使用规范透明,符合国家财经法规和财务管理制度以及有关专项资金管理办法的规定。项目管理有效，产出达到了预期目标。项目的实施改善了农村居民的饮水安全、饮水质量的问题，具有较好的社会效益。项目综合绩效评价得分为</w:t>
      </w:r>
      <w:r>
        <w:rPr>
          <w:rFonts w:hint="eastAsia" w:ascii="宋体" w:hAnsi="宋体" w:cs="仿宋"/>
          <w:kern w:val="0"/>
          <w:sz w:val="28"/>
          <w:szCs w:val="28"/>
        </w:rPr>
        <w:t>89.5</w:t>
      </w:r>
      <w:r>
        <w:rPr>
          <w:rFonts w:hint="eastAsia" w:ascii="宋体" w:hAnsi="宋体" w:cs="仿宋"/>
          <w:color w:val="000000"/>
          <w:kern w:val="0"/>
          <w:sz w:val="28"/>
          <w:szCs w:val="28"/>
        </w:rPr>
        <w:t>分，评价等级“良”。</w:t>
      </w:r>
    </w:p>
    <w:p>
      <w:pPr>
        <w:spacing w:line="540" w:lineRule="exact"/>
        <w:ind w:firstLine="560" w:firstLineChars="200"/>
        <w:jc w:val="left"/>
        <w:rPr>
          <w:rFonts w:ascii="宋体" w:hAnsi="宋体" w:cs="仿宋"/>
          <w:color w:val="000000"/>
          <w:kern w:val="0"/>
          <w:sz w:val="28"/>
          <w:szCs w:val="28"/>
        </w:rPr>
      </w:pPr>
      <w:r>
        <w:rPr>
          <w:rFonts w:hint="eastAsia" w:ascii="宋体" w:hAnsi="宋体" w:cs="仿宋"/>
          <w:color w:val="000000"/>
          <w:kern w:val="0"/>
          <w:sz w:val="28"/>
          <w:szCs w:val="28"/>
        </w:rPr>
        <w:t>评分情况如下：</w:t>
      </w:r>
    </w:p>
    <w:p>
      <w:pPr>
        <w:pStyle w:val="2"/>
        <w:ind w:firstLine="560"/>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7"/>
        <w:gridCol w:w="1133"/>
        <w:gridCol w:w="1768"/>
        <w:gridCol w:w="1768"/>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01" w:type="pct"/>
            <w:noWrap/>
          </w:tcPr>
          <w:p>
            <w:pPr>
              <w:spacing w:line="520" w:lineRule="exact"/>
              <w:jc w:val="center"/>
              <w:rPr>
                <w:rFonts w:ascii="宋体" w:hAnsi="宋体"/>
                <w:b/>
                <w:sz w:val="24"/>
              </w:rPr>
            </w:pPr>
            <w:r>
              <w:rPr>
                <w:rFonts w:hint="eastAsia" w:ascii="宋体" w:hAnsi="宋体"/>
                <w:b/>
                <w:sz w:val="24"/>
              </w:rPr>
              <w:t>一级指标</w:t>
            </w:r>
          </w:p>
        </w:tc>
        <w:tc>
          <w:tcPr>
            <w:tcW w:w="633" w:type="pct"/>
            <w:noWrap/>
          </w:tcPr>
          <w:p>
            <w:pPr>
              <w:spacing w:line="520" w:lineRule="exact"/>
              <w:ind w:firstLine="118" w:firstLineChars="49"/>
              <w:jc w:val="center"/>
              <w:rPr>
                <w:rFonts w:ascii="宋体" w:hAnsi="宋体"/>
                <w:b/>
                <w:sz w:val="24"/>
              </w:rPr>
            </w:pPr>
            <w:r>
              <w:rPr>
                <w:rFonts w:hint="eastAsia" w:ascii="宋体" w:hAnsi="宋体"/>
                <w:b/>
                <w:bCs/>
                <w:sz w:val="24"/>
              </w:rPr>
              <w:t>分值</w:t>
            </w:r>
          </w:p>
        </w:tc>
        <w:tc>
          <w:tcPr>
            <w:tcW w:w="988" w:type="pct"/>
            <w:noWrap/>
          </w:tcPr>
          <w:p>
            <w:pPr>
              <w:spacing w:line="520" w:lineRule="exact"/>
              <w:jc w:val="center"/>
              <w:rPr>
                <w:rFonts w:ascii="宋体" w:hAnsi="宋体"/>
                <w:b/>
                <w:sz w:val="24"/>
              </w:rPr>
            </w:pPr>
            <w:r>
              <w:rPr>
                <w:rFonts w:hint="eastAsia" w:ascii="宋体" w:hAnsi="宋体"/>
                <w:b/>
                <w:bCs/>
                <w:sz w:val="24"/>
              </w:rPr>
              <w:t>二级指标</w:t>
            </w:r>
          </w:p>
        </w:tc>
        <w:tc>
          <w:tcPr>
            <w:tcW w:w="988" w:type="pct"/>
            <w:noWrap/>
          </w:tcPr>
          <w:p>
            <w:pPr>
              <w:spacing w:line="520" w:lineRule="exact"/>
              <w:jc w:val="center"/>
              <w:rPr>
                <w:rFonts w:ascii="宋体" w:hAnsi="宋体"/>
                <w:b/>
                <w:sz w:val="24"/>
              </w:rPr>
            </w:pPr>
            <w:r>
              <w:rPr>
                <w:rFonts w:hint="eastAsia" w:ascii="宋体" w:hAnsi="宋体"/>
                <w:b/>
                <w:bCs/>
                <w:sz w:val="24"/>
              </w:rPr>
              <w:t>分值</w:t>
            </w:r>
          </w:p>
        </w:tc>
        <w:tc>
          <w:tcPr>
            <w:tcW w:w="989" w:type="pct"/>
            <w:noWrap/>
          </w:tcPr>
          <w:p>
            <w:pPr>
              <w:spacing w:line="520" w:lineRule="exact"/>
              <w:jc w:val="center"/>
              <w:rPr>
                <w:rFonts w:ascii="宋体" w:hAnsi="宋体"/>
                <w:b/>
                <w:sz w:val="24"/>
              </w:rPr>
            </w:pPr>
            <w:r>
              <w:rPr>
                <w:rFonts w:hint="eastAsia" w:ascii="宋体" w:hAnsi="宋体"/>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01" w:type="pct"/>
            <w:vMerge w:val="restart"/>
            <w:noWrap/>
            <w:vAlign w:val="center"/>
          </w:tcPr>
          <w:p>
            <w:pPr>
              <w:spacing w:line="520" w:lineRule="exact"/>
              <w:jc w:val="center"/>
              <w:rPr>
                <w:rFonts w:ascii="宋体" w:hAnsi="宋体"/>
                <w:b/>
                <w:bCs/>
                <w:sz w:val="24"/>
              </w:rPr>
            </w:pPr>
            <w:r>
              <w:rPr>
                <w:rFonts w:hint="eastAsia" w:ascii="宋体" w:hAnsi="宋体"/>
                <w:b/>
                <w:bCs/>
                <w:sz w:val="24"/>
              </w:rPr>
              <w:t>项目决策</w:t>
            </w:r>
          </w:p>
        </w:tc>
        <w:tc>
          <w:tcPr>
            <w:tcW w:w="633" w:type="pct"/>
            <w:vMerge w:val="restart"/>
            <w:noWrap/>
            <w:vAlign w:val="center"/>
          </w:tcPr>
          <w:p>
            <w:pPr>
              <w:spacing w:line="520" w:lineRule="exact"/>
              <w:ind w:firstLine="120" w:firstLineChars="50"/>
              <w:jc w:val="center"/>
              <w:rPr>
                <w:rFonts w:ascii="宋体" w:hAnsi="宋体"/>
                <w:sz w:val="24"/>
              </w:rPr>
            </w:pPr>
            <w:r>
              <w:rPr>
                <w:rFonts w:hint="eastAsia" w:ascii="宋体" w:hAnsi="宋体"/>
                <w:sz w:val="24"/>
              </w:rPr>
              <w:t>20分</w:t>
            </w:r>
          </w:p>
        </w:tc>
        <w:tc>
          <w:tcPr>
            <w:tcW w:w="988" w:type="pct"/>
            <w:noWrap/>
          </w:tcPr>
          <w:p>
            <w:pPr>
              <w:spacing w:line="520" w:lineRule="exact"/>
              <w:jc w:val="center"/>
              <w:rPr>
                <w:rFonts w:ascii="宋体" w:hAnsi="宋体"/>
                <w:sz w:val="24"/>
              </w:rPr>
            </w:pPr>
            <w:r>
              <w:rPr>
                <w:rFonts w:hint="eastAsia" w:ascii="宋体" w:hAnsi="宋体"/>
                <w:sz w:val="24"/>
              </w:rPr>
              <w:t>项目目标</w:t>
            </w:r>
          </w:p>
        </w:tc>
        <w:tc>
          <w:tcPr>
            <w:tcW w:w="988" w:type="pct"/>
            <w:noWrap/>
          </w:tcPr>
          <w:p>
            <w:pPr>
              <w:spacing w:line="520" w:lineRule="exact"/>
              <w:jc w:val="center"/>
              <w:rPr>
                <w:rFonts w:ascii="宋体" w:hAnsi="宋体"/>
                <w:sz w:val="24"/>
              </w:rPr>
            </w:pPr>
            <w:r>
              <w:rPr>
                <w:rFonts w:hint="eastAsia" w:ascii="宋体" w:hAnsi="宋体"/>
                <w:sz w:val="24"/>
              </w:rPr>
              <w:t>4分</w:t>
            </w:r>
          </w:p>
        </w:tc>
        <w:tc>
          <w:tcPr>
            <w:tcW w:w="989" w:type="pct"/>
            <w:noWrap/>
          </w:tcPr>
          <w:p>
            <w:pPr>
              <w:spacing w:line="520" w:lineRule="exact"/>
              <w:jc w:val="center"/>
              <w:rPr>
                <w:rFonts w:ascii="宋体" w:hAnsi="宋体"/>
                <w:sz w:val="24"/>
              </w:rPr>
            </w:pPr>
            <w:r>
              <w:rPr>
                <w:rFonts w:hint="eastAsia" w:ascii="宋体" w:hAnsi="宋体"/>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01" w:type="pct"/>
            <w:vMerge w:val="continue"/>
            <w:noWrap/>
            <w:vAlign w:val="center"/>
          </w:tcPr>
          <w:p>
            <w:pPr>
              <w:spacing w:line="520" w:lineRule="exact"/>
              <w:jc w:val="center"/>
              <w:rPr>
                <w:rFonts w:ascii="宋体" w:hAnsi="宋体"/>
                <w:b/>
                <w:bCs/>
                <w:sz w:val="24"/>
              </w:rPr>
            </w:pPr>
          </w:p>
        </w:tc>
        <w:tc>
          <w:tcPr>
            <w:tcW w:w="633" w:type="pct"/>
            <w:vMerge w:val="continue"/>
            <w:noWrap/>
            <w:vAlign w:val="center"/>
          </w:tcPr>
          <w:p>
            <w:pPr>
              <w:spacing w:line="520" w:lineRule="exact"/>
              <w:ind w:firstLine="120" w:firstLineChars="50"/>
              <w:jc w:val="center"/>
              <w:rPr>
                <w:rFonts w:ascii="宋体" w:hAnsi="宋体"/>
                <w:sz w:val="24"/>
              </w:rPr>
            </w:pPr>
          </w:p>
        </w:tc>
        <w:tc>
          <w:tcPr>
            <w:tcW w:w="988" w:type="pct"/>
            <w:noWrap/>
          </w:tcPr>
          <w:p>
            <w:pPr>
              <w:spacing w:line="520" w:lineRule="exact"/>
              <w:jc w:val="center"/>
              <w:rPr>
                <w:rFonts w:ascii="宋体" w:hAnsi="宋体"/>
                <w:sz w:val="24"/>
              </w:rPr>
            </w:pPr>
            <w:r>
              <w:rPr>
                <w:rFonts w:hint="eastAsia" w:ascii="宋体" w:hAnsi="宋体"/>
                <w:sz w:val="24"/>
              </w:rPr>
              <w:t>决策过程</w:t>
            </w:r>
          </w:p>
        </w:tc>
        <w:tc>
          <w:tcPr>
            <w:tcW w:w="988" w:type="pct"/>
            <w:noWrap/>
          </w:tcPr>
          <w:p>
            <w:pPr>
              <w:spacing w:line="520" w:lineRule="exact"/>
              <w:jc w:val="center"/>
              <w:rPr>
                <w:rFonts w:ascii="宋体" w:hAnsi="宋体"/>
                <w:sz w:val="24"/>
              </w:rPr>
            </w:pPr>
            <w:r>
              <w:rPr>
                <w:rFonts w:hint="eastAsia" w:ascii="宋体" w:hAnsi="宋体"/>
                <w:sz w:val="24"/>
              </w:rPr>
              <w:t>8分</w:t>
            </w:r>
          </w:p>
        </w:tc>
        <w:tc>
          <w:tcPr>
            <w:tcW w:w="989" w:type="pct"/>
            <w:noWrap/>
          </w:tcPr>
          <w:p>
            <w:pPr>
              <w:spacing w:line="520" w:lineRule="exact"/>
              <w:jc w:val="center"/>
              <w:rPr>
                <w:rFonts w:ascii="宋体" w:hAnsi="宋体"/>
                <w:sz w:val="24"/>
              </w:rPr>
            </w:pPr>
            <w:r>
              <w:rPr>
                <w:rFonts w:hint="eastAsia" w:ascii="宋体" w:hAnsi="宋体"/>
                <w:sz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01" w:type="pct"/>
            <w:vMerge w:val="continue"/>
            <w:noWrap/>
          </w:tcPr>
          <w:p>
            <w:pPr>
              <w:spacing w:line="520" w:lineRule="exact"/>
              <w:jc w:val="center"/>
              <w:rPr>
                <w:rFonts w:ascii="宋体" w:hAnsi="宋体"/>
                <w:b/>
                <w:bCs/>
                <w:sz w:val="24"/>
              </w:rPr>
            </w:pPr>
          </w:p>
        </w:tc>
        <w:tc>
          <w:tcPr>
            <w:tcW w:w="633" w:type="pct"/>
            <w:vMerge w:val="continue"/>
            <w:noWrap/>
          </w:tcPr>
          <w:p>
            <w:pPr>
              <w:spacing w:line="520" w:lineRule="exact"/>
              <w:ind w:firstLine="120" w:firstLineChars="50"/>
              <w:jc w:val="center"/>
              <w:rPr>
                <w:rFonts w:ascii="宋体" w:hAnsi="宋体"/>
                <w:sz w:val="24"/>
              </w:rPr>
            </w:pPr>
          </w:p>
        </w:tc>
        <w:tc>
          <w:tcPr>
            <w:tcW w:w="988" w:type="pct"/>
            <w:noWrap/>
          </w:tcPr>
          <w:p>
            <w:pPr>
              <w:spacing w:line="520" w:lineRule="exact"/>
              <w:jc w:val="center"/>
              <w:rPr>
                <w:rFonts w:ascii="宋体" w:hAnsi="宋体"/>
                <w:sz w:val="24"/>
              </w:rPr>
            </w:pPr>
            <w:r>
              <w:rPr>
                <w:rFonts w:hint="eastAsia" w:ascii="宋体" w:hAnsi="宋体"/>
                <w:sz w:val="24"/>
              </w:rPr>
              <w:t>资金落实</w:t>
            </w:r>
          </w:p>
        </w:tc>
        <w:tc>
          <w:tcPr>
            <w:tcW w:w="988" w:type="pct"/>
            <w:noWrap/>
          </w:tcPr>
          <w:p>
            <w:pPr>
              <w:spacing w:line="520" w:lineRule="exact"/>
              <w:jc w:val="center"/>
              <w:rPr>
                <w:rFonts w:ascii="宋体" w:hAnsi="宋体"/>
                <w:sz w:val="24"/>
              </w:rPr>
            </w:pPr>
            <w:r>
              <w:rPr>
                <w:rFonts w:hint="eastAsia" w:ascii="宋体" w:hAnsi="宋体"/>
                <w:sz w:val="24"/>
              </w:rPr>
              <w:t>8分</w:t>
            </w:r>
          </w:p>
        </w:tc>
        <w:tc>
          <w:tcPr>
            <w:tcW w:w="989" w:type="pct"/>
            <w:noWrap/>
          </w:tcPr>
          <w:p>
            <w:pPr>
              <w:spacing w:line="520" w:lineRule="exact"/>
              <w:jc w:val="center"/>
              <w:rPr>
                <w:rFonts w:ascii="宋体" w:hAnsi="宋体"/>
                <w:sz w:val="24"/>
              </w:rPr>
            </w:pPr>
            <w:r>
              <w:rPr>
                <w:rFonts w:hint="eastAsia" w:ascii="宋体" w:hAnsi="宋体"/>
                <w:sz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01" w:type="pct"/>
            <w:vMerge w:val="restart"/>
            <w:noWrap/>
            <w:vAlign w:val="center"/>
          </w:tcPr>
          <w:p>
            <w:pPr>
              <w:spacing w:line="520" w:lineRule="exact"/>
              <w:jc w:val="center"/>
              <w:rPr>
                <w:rFonts w:ascii="宋体" w:hAnsi="宋体"/>
                <w:b/>
                <w:bCs/>
                <w:sz w:val="24"/>
              </w:rPr>
            </w:pPr>
            <w:r>
              <w:rPr>
                <w:rFonts w:hint="eastAsia" w:ascii="宋体" w:hAnsi="宋体"/>
                <w:b/>
                <w:bCs/>
                <w:sz w:val="24"/>
              </w:rPr>
              <w:t>项目管理</w:t>
            </w:r>
          </w:p>
        </w:tc>
        <w:tc>
          <w:tcPr>
            <w:tcW w:w="633" w:type="pct"/>
            <w:vMerge w:val="restart"/>
            <w:noWrap/>
            <w:vAlign w:val="center"/>
          </w:tcPr>
          <w:p>
            <w:pPr>
              <w:spacing w:line="520" w:lineRule="exact"/>
              <w:ind w:firstLine="120" w:firstLineChars="50"/>
              <w:jc w:val="center"/>
              <w:rPr>
                <w:rFonts w:ascii="宋体" w:hAnsi="宋体"/>
                <w:sz w:val="24"/>
              </w:rPr>
            </w:pPr>
            <w:r>
              <w:rPr>
                <w:rFonts w:hint="eastAsia" w:ascii="宋体" w:hAnsi="宋体"/>
                <w:sz w:val="24"/>
              </w:rPr>
              <w:t>40分</w:t>
            </w:r>
          </w:p>
        </w:tc>
        <w:tc>
          <w:tcPr>
            <w:tcW w:w="988" w:type="pct"/>
            <w:noWrap/>
          </w:tcPr>
          <w:p>
            <w:pPr>
              <w:spacing w:line="520" w:lineRule="exact"/>
              <w:jc w:val="center"/>
              <w:rPr>
                <w:rFonts w:ascii="宋体" w:hAnsi="宋体"/>
                <w:sz w:val="24"/>
              </w:rPr>
            </w:pPr>
            <w:r>
              <w:rPr>
                <w:rFonts w:hint="eastAsia" w:ascii="宋体" w:hAnsi="宋体"/>
                <w:sz w:val="24"/>
              </w:rPr>
              <w:t>资金到位</w:t>
            </w:r>
          </w:p>
        </w:tc>
        <w:tc>
          <w:tcPr>
            <w:tcW w:w="988" w:type="pct"/>
            <w:noWrap/>
          </w:tcPr>
          <w:p>
            <w:pPr>
              <w:spacing w:line="520" w:lineRule="exact"/>
              <w:jc w:val="center"/>
              <w:rPr>
                <w:rFonts w:ascii="宋体" w:hAnsi="宋体"/>
                <w:sz w:val="24"/>
              </w:rPr>
            </w:pPr>
            <w:r>
              <w:rPr>
                <w:rFonts w:hint="eastAsia" w:ascii="宋体" w:hAnsi="宋体"/>
                <w:sz w:val="24"/>
              </w:rPr>
              <w:t>5分</w:t>
            </w:r>
          </w:p>
        </w:tc>
        <w:tc>
          <w:tcPr>
            <w:tcW w:w="989" w:type="pct"/>
            <w:noWrap/>
          </w:tcPr>
          <w:p>
            <w:pPr>
              <w:spacing w:line="520" w:lineRule="exact"/>
              <w:jc w:val="center"/>
              <w:rPr>
                <w:rFonts w:ascii="宋体" w:hAnsi="宋体"/>
                <w:sz w:val="24"/>
              </w:rPr>
            </w:pPr>
            <w:r>
              <w:rPr>
                <w:rFonts w:hint="eastAsia" w:ascii="宋体" w:hAnsi="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01" w:type="pct"/>
            <w:vMerge w:val="continue"/>
            <w:noWrap/>
            <w:vAlign w:val="center"/>
          </w:tcPr>
          <w:p>
            <w:pPr>
              <w:spacing w:line="520" w:lineRule="exact"/>
              <w:jc w:val="center"/>
              <w:rPr>
                <w:rFonts w:ascii="宋体" w:hAnsi="宋体"/>
                <w:b/>
                <w:bCs/>
                <w:sz w:val="24"/>
              </w:rPr>
            </w:pPr>
          </w:p>
        </w:tc>
        <w:tc>
          <w:tcPr>
            <w:tcW w:w="633" w:type="pct"/>
            <w:vMerge w:val="continue"/>
            <w:noWrap/>
            <w:vAlign w:val="center"/>
          </w:tcPr>
          <w:p>
            <w:pPr>
              <w:spacing w:line="520" w:lineRule="exact"/>
              <w:ind w:firstLine="120" w:firstLineChars="50"/>
              <w:jc w:val="center"/>
              <w:rPr>
                <w:rFonts w:ascii="宋体" w:hAnsi="宋体"/>
                <w:sz w:val="24"/>
              </w:rPr>
            </w:pPr>
          </w:p>
        </w:tc>
        <w:tc>
          <w:tcPr>
            <w:tcW w:w="988" w:type="pct"/>
            <w:noWrap/>
          </w:tcPr>
          <w:p>
            <w:pPr>
              <w:spacing w:line="520" w:lineRule="exact"/>
              <w:jc w:val="center"/>
              <w:rPr>
                <w:rFonts w:ascii="宋体" w:hAnsi="宋体"/>
                <w:sz w:val="24"/>
              </w:rPr>
            </w:pPr>
            <w:r>
              <w:rPr>
                <w:rFonts w:hint="eastAsia" w:ascii="宋体" w:hAnsi="宋体"/>
                <w:sz w:val="24"/>
              </w:rPr>
              <w:t>资金管理</w:t>
            </w:r>
          </w:p>
        </w:tc>
        <w:tc>
          <w:tcPr>
            <w:tcW w:w="988" w:type="pct"/>
            <w:noWrap/>
          </w:tcPr>
          <w:p>
            <w:pPr>
              <w:spacing w:line="520" w:lineRule="exact"/>
              <w:jc w:val="center"/>
              <w:rPr>
                <w:rFonts w:ascii="宋体" w:hAnsi="宋体"/>
                <w:sz w:val="24"/>
              </w:rPr>
            </w:pPr>
            <w:r>
              <w:rPr>
                <w:rFonts w:hint="eastAsia" w:ascii="宋体" w:hAnsi="宋体"/>
                <w:sz w:val="24"/>
              </w:rPr>
              <w:t>10分</w:t>
            </w:r>
          </w:p>
        </w:tc>
        <w:tc>
          <w:tcPr>
            <w:tcW w:w="989" w:type="pct"/>
            <w:noWrap/>
          </w:tcPr>
          <w:p>
            <w:pPr>
              <w:spacing w:line="520" w:lineRule="exact"/>
              <w:jc w:val="center"/>
              <w:rPr>
                <w:rFonts w:ascii="宋体" w:hAnsi="宋体"/>
                <w:sz w:val="24"/>
              </w:rPr>
            </w:pPr>
            <w:r>
              <w:rPr>
                <w:rFonts w:hint="eastAsia" w:ascii="宋体" w:hAnsi="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01" w:type="pct"/>
            <w:vMerge w:val="continue"/>
            <w:noWrap/>
          </w:tcPr>
          <w:p>
            <w:pPr>
              <w:spacing w:line="520" w:lineRule="exact"/>
              <w:jc w:val="center"/>
              <w:rPr>
                <w:rFonts w:ascii="宋体" w:hAnsi="宋体"/>
                <w:b/>
                <w:bCs/>
                <w:sz w:val="24"/>
              </w:rPr>
            </w:pPr>
          </w:p>
        </w:tc>
        <w:tc>
          <w:tcPr>
            <w:tcW w:w="633" w:type="pct"/>
            <w:vMerge w:val="continue"/>
            <w:noWrap/>
          </w:tcPr>
          <w:p>
            <w:pPr>
              <w:spacing w:line="520" w:lineRule="exact"/>
              <w:ind w:firstLine="120" w:firstLineChars="50"/>
              <w:jc w:val="center"/>
              <w:rPr>
                <w:rFonts w:ascii="宋体" w:hAnsi="宋体"/>
                <w:sz w:val="24"/>
              </w:rPr>
            </w:pPr>
          </w:p>
        </w:tc>
        <w:tc>
          <w:tcPr>
            <w:tcW w:w="988" w:type="pct"/>
            <w:noWrap/>
          </w:tcPr>
          <w:p>
            <w:pPr>
              <w:spacing w:line="520" w:lineRule="exact"/>
              <w:jc w:val="center"/>
              <w:rPr>
                <w:rFonts w:ascii="宋体" w:hAnsi="宋体"/>
                <w:sz w:val="24"/>
              </w:rPr>
            </w:pPr>
            <w:r>
              <w:rPr>
                <w:rFonts w:hint="eastAsia" w:ascii="宋体" w:hAnsi="宋体"/>
                <w:sz w:val="24"/>
              </w:rPr>
              <w:t>组织实施</w:t>
            </w:r>
          </w:p>
        </w:tc>
        <w:tc>
          <w:tcPr>
            <w:tcW w:w="988" w:type="pct"/>
            <w:noWrap/>
          </w:tcPr>
          <w:p>
            <w:pPr>
              <w:spacing w:line="520" w:lineRule="exact"/>
              <w:jc w:val="center"/>
              <w:rPr>
                <w:rFonts w:ascii="宋体" w:hAnsi="宋体"/>
                <w:sz w:val="24"/>
              </w:rPr>
            </w:pPr>
            <w:r>
              <w:rPr>
                <w:rFonts w:hint="eastAsia" w:ascii="宋体" w:hAnsi="宋体"/>
                <w:sz w:val="24"/>
              </w:rPr>
              <w:t>10分</w:t>
            </w:r>
          </w:p>
        </w:tc>
        <w:tc>
          <w:tcPr>
            <w:tcW w:w="989" w:type="pct"/>
            <w:noWrap/>
          </w:tcPr>
          <w:p>
            <w:pPr>
              <w:spacing w:line="520" w:lineRule="exact"/>
              <w:jc w:val="center"/>
              <w:rPr>
                <w:rFonts w:ascii="宋体" w:hAnsi="宋体"/>
                <w:sz w:val="24"/>
              </w:rPr>
            </w:pPr>
            <w:r>
              <w:rPr>
                <w:rFonts w:hint="eastAsia" w:ascii="宋体" w:hAnsi="宋体"/>
                <w:sz w:val="24"/>
              </w:rPr>
              <w:t>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01" w:type="pct"/>
            <w:vMerge w:val="continue"/>
            <w:noWrap/>
          </w:tcPr>
          <w:p>
            <w:pPr>
              <w:spacing w:line="520" w:lineRule="exact"/>
              <w:jc w:val="center"/>
              <w:rPr>
                <w:rFonts w:ascii="宋体" w:hAnsi="宋体"/>
                <w:b/>
                <w:bCs/>
                <w:sz w:val="24"/>
              </w:rPr>
            </w:pPr>
          </w:p>
        </w:tc>
        <w:tc>
          <w:tcPr>
            <w:tcW w:w="633" w:type="pct"/>
            <w:vMerge w:val="continue"/>
            <w:noWrap/>
          </w:tcPr>
          <w:p>
            <w:pPr>
              <w:spacing w:line="520" w:lineRule="exact"/>
              <w:ind w:firstLine="120" w:firstLineChars="50"/>
              <w:jc w:val="center"/>
              <w:rPr>
                <w:rFonts w:ascii="宋体" w:hAnsi="宋体"/>
                <w:sz w:val="24"/>
              </w:rPr>
            </w:pPr>
          </w:p>
        </w:tc>
        <w:tc>
          <w:tcPr>
            <w:tcW w:w="988" w:type="pct"/>
            <w:noWrap/>
          </w:tcPr>
          <w:p>
            <w:pPr>
              <w:spacing w:line="520" w:lineRule="exact"/>
              <w:jc w:val="center"/>
              <w:rPr>
                <w:rFonts w:ascii="宋体" w:hAnsi="宋体"/>
                <w:sz w:val="24"/>
              </w:rPr>
            </w:pPr>
            <w:r>
              <w:rPr>
                <w:rFonts w:hint="eastAsia" w:ascii="宋体" w:hAnsi="宋体"/>
                <w:sz w:val="24"/>
              </w:rPr>
              <w:t>项目产出</w:t>
            </w:r>
          </w:p>
        </w:tc>
        <w:tc>
          <w:tcPr>
            <w:tcW w:w="988" w:type="pct"/>
            <w:noWrap/>
          </w:tcPr>
          <w:p>
            <w:pPr>
              <w:spacing w:line="520" w:lineRule="exact"/>
              <w:jc w:val="center"/>
              <w:rPr>
                <w:rFonts w:ascii="宋体" w:hAnsi="宋体"/>
                <w:sz w:val="24"/>
              </w:rPr>
            </w:pPr>
            <w:r>
              <w:rPr>
                <w:rFonts w:hint="eastAsia" w:ascii="宋体" w:hAnsi="宋体"/>
                <w:sz w:val="24"/>
              </w:rPr>
              <w:t>15分</w:t>
            </w:r>
          </w:p>
        </w:tc>
        <w:tc>
          <w:tcPr>
            <w:tcW w:w="989" w:type="pct"/>
            <w:noWrap/>
          </w:tcPr>
          <w:p>
            <w:pPr>
              <w:spacing w:line="520" w:lineRule="exact"/>
              <w:jc w:val="center"/>
              <w:rPr>
                <w:rFonts w:ascii="宋体" w:hAnsi="宋体"/>
                <w:sz w:val="24"/>
              </w:rPr>
            </w:pPr>
            <w:r>
              <w:rPr>
                <w:rFonts w:hint="eastAsia" w:ascii="宋体" w:hAnsi="宋体"/>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01" w:type="pct"/>
            <w:noWrap/>
            <w:vAlign w:val="center"/>
          </w:tcPr>
          <w:p>
            <w:pPr>
              <w:spacing w:line="520" w:lineRule="exact"/>
              <w:jc w:val="center"/>
              <w:rPr>
                <w:rFonts w:ascii="宋体" w:hAnsi="宋体"/>
                <w:b/>
                <w:bCs/>
                <w:sz w:val="24"/>
              </w:rPr>
            </w:pPr>
            <w:r>
              <w:rPr>
                <w:rFonts w:hint="eastAsia" w:ascii="宋体" w:hAnsi="宋体"/>
                <w:b/>
                <w:bCs/>
                <w:sz w:val="24"/>
              </w:rPr>
              <w:t>项目绩效</w:t>
            </w:r>
          </w:p>
        </w:tc>
        <w:tc>
          <w:tcPr>
            <w:tcW w:w="633" w:type="pct"/>
            <w:noWrap/>
            <w:vAlign w:val="center"/>
          </w:tcPr>
          <w:p>
            <w:pPr>
              <w:spacing w:line="520" w:lineRule="exact"/>
              <w:ind w:firstLine="120" w:firstLineChars="50"/>
              <w:jc w:val="center"/>
              <w:rPr>
                <w:rFonts w:ascii="宋体" w:hAnsi="宋体"/>
                <w:sz w:val="24"/>
              </w:rPr>
            </w:pPr>
            <w:r>
              <w:rPr>
                <w:rFonts w:hint="eastAsia" w:ascii="宋体" w:hAnsi="宋体"/>
                <w:sz w:val="24"/>
              </w:rPr>
              <w:t>40分</w:t>
            </w:r>
          </w:p>
        </w:tc>
        <w:tc>
          <w:tcPr>
            <w:tcW w:w="988" w:type="pct"/>
            <w:noWrap/>
            <w:vAlign w:val="center"/>
          </w:tcPr>
          <w:p>
            <w:pPr>
              <w:spacing w:line="520" w:lineRule="exact"/>
              <w:jc w:val="center"/>
              <w:rPr>
                <w:rFonts w:ascii="宋体" w:hAnsi="宋体"/>
                <w:sz w:val="24"/>
              </w:rPr>
            </w:pPr>
            <w:r>
              <w:rPr>
                <w:rFonts w:hint="eastAsia" w:ascii="宋体" w:hAnsi="宋体"/>
                <w:sz w:val="24"/>
              </w:rPr>
              <w:t>项目效果</w:t>
            </w:r>
          </w:p>
        </w:tc>
        <w:tc>
          <w:tcPr>
            <w:tcW w:w="988" w:type="pct"/>
            <w:noWrap/>
            <w:vAlign w:val="center"/>
          </w:tcPr>
          <w:p>
            <w:pPr>
              <w:spacing w:line="520" w:lineRule="exact"/>
              <w:jc w:val="center"/>
              <w:rPr>
                <w:rFonts w:ascii="宋体" w:hAnsi="宋体"/>
                <w:sz w:val="24"/>
              </w:rPr>
            </w:pPr>
            <w:r>
              <w:rPr>
                <w:rFonts w:hint="eastAsia" w:ascii="宋体" w:hAnsi="宋体"/>
                <w:sz w:val="24"/>
              </w:rPr>
              <w:t>40分</w:t>
            </w:r>
          </w:p>
        </w:tc>
        <w:tc>
          <w:tcPr>
            <w:tcW w:w="989" w:type="pct"/>
            <w:noWrap/>
            <w:vAlign w:val="center"/>
          </w:tcPr>
          <w:p>
            <w:pPr>
              <w:spacing w:line="520" w:lineRule="exact"/>
              <w:jc w:val="center"/>
              <w:rPr>
                <w:rFonts w:ascii="宋体" w:hAnsi="宋体"/>
                <w:sz w:val="24"/>
              </w:rPr>
            </w:pPr>
            <w:r>
              <w:rPr>
                <w:rFonts w:hint="eastAsia" w:ascii="宋体" w:hAnsi="宋体"/>
                <w:sz w:val="24"/>
              </w:rPr>
              <w:t>38分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01" w:type="pct"/>
            <w:noWrap/>
          </w:tcPr>
          <w:p>
            <w:pPr>
              <w:spacing w:line="520" w:lineRule="exact"/>
              <w:jc w:val="center"/>
              <w:rPr>
                <w:rFonts w:ascii="宋体" w:hAnsi="宋体"/>
                <w:b/>
                <w:bCs/>
                <w:sz w:val="24"/>
              </w:rPr>
            </w:pPr>
            <w:r>
              <w:rPr>
                <w:rFonts w:hint="eastAsia" w:ascii="宋体" w:hAnsi="宋体"/>
                <w:b/>
                <w:bCs/>
                <w:sz w:val="24"/>
              </w:rPr>
              <w:t>总分</w:t>
            </w:r>
          </w:p>
        </w:tc>
        <w:tc>
          <w:tcPr>
            <w:tcW w:w="633" w:type="pct"/>
            <w:noWrap/>
          </w:tcPr>
          <w:p>
            <w:pPr>
              <w:spacing w:line="520" w:lineRule="exact"/>
              <w:ind w:firstLine="120" w:firstLineChars="50"/>
              <w:jc w:val="center"/>
              <w:rPr>
                <w:rFonts w:ascii="宋体" w:hAnsi="宋体"/>
                <w:sz w:val="24"/>
              </w:rPr>
            </w:pPr>
            <w:r>
              <w:rPr>
                <w:rFonts w:hint="eastAsia" w:ascii="宋体" w:hAnsi="宋体"/>
                <w:sz w:val="24"/>
              </w:rPr>
              <w:t>100分</w:t>
            </w:r>
          </w:p>
        </w:tc>
        <w:tc>
          <w:tcPr>
            <w:tcW w:w="988" w:type="pct"/>
            <w:noWrap/>
          </w:tcPr>
          <w:p>
            <w:pPr>
              <w:spacing w:line="520" w:lineRule="exact"/>
              <w:rPr>
                <w:rFonts w:ascii="宋体" w:hAnsi="宋体"/>
                <w:sz w:val="24"/>
              </w:rPr>
            </w:pPr>
          </w:p>
        </w:tc>
        <w:tc>
          <w:tcPr>
            <w:tcW w:w="988" w:type="pct"/>
            <w:noWrap/>
          </w:tcPr>
          <w:p>
            <w:pPr>
              <w:spacing w:line="520" w:lineRule="exact"/>
              <w:jc w:val="center"/>
              <w:rPr>
                <w:rFonts w:ascii="宋体" w:hAnsi="宋体"/>
                <w:sz w:val="24"/>
              </w:rPr>
            </w:pPr>
            <w:r>
              <w:rPr>
                <w:rFonts w:hint="eastAsia" w:ascii="宋体" w:hAnsi="宋体"/>
                <w:sz w:val="24"/>
              </w:rPr>
              <w:t>100分</w:t>
            </w:r>
          </w:p>
        </w:tc>
        <w:tc>
          <w:tcPr>
            <w:tcW w:w="989" w:type="pct"/>
            <w:noWrap/>
          </w:tcPr>
          <w:p>
            <w:pPr>
              <w:spacing w:line="520" w:lineRule="exact"/>
              <w:jc w:val="center"/>
              <w:rPr>
                <w:rFonts w:ascii="宋体" w:hAnsi="宋体"/>
                <w:sz w:val="24"/>
              </w:rPr>
            </w:pPr>
            <w:r>
              <w:rPr>
                <w:rFonts w:hint="eastAsia" w:ascii="宋体" w:hAnsi="宋体"/>
                <w:sz w:val="24"/>
              </w:rPr>
              <w:t>89.5分</w:t>
            </w:r>
          </w:p>
        </w:tc>
      </w:tr>
    </w:tbl>
    <w:p>
      <w:pPr>
        <w:pStyle w:val="10"/>
        <w:widowControl/>
        <w:spacing w:beforeLines="100" w:line="540" w:lineRule="exact"/>
        <w:ind w:firstLine="562" w:firstLineChars="200"/>
        <w:rPr>
          <w:rStyle w:val="14"/>
          <w:rFonts w:ascii="宋体" w:hAnsi="宋体" w:cs="仿宋_GB2312"/>
          <w:sz w:val="28"/>
          <w:szCs w:val="28"/>
        </w:rPr>
      </w:pPr>
      <w:bookmarkStart w:id="78" w:name="_Toc2015_WPSOffice_Level1"/>
      <w:bookmarkStart w:id="79" w:name="_Toc28536_WPSOffice_Level1"/>
      <w:bookmarkStart w:id="80" w:name="_Toc28748_WPSOffice_Level1"/>
      <w:bookmarkStart w:id="81" w:name="_Toc8659"/>
      <w:bookmarkStart w:id="82" w:name="_Toc18927"/>
      <w:bookmarkStart w:id="83" w:name="_Toc24297"/>
      <w:r>
        <w:rPr>
          <w:rStyle w:val="14"/>
          <w:rFonts w:hint="eastAsia" w:ascii="宋体" w:hAnsi="宋体" w:cs="仿宋_GB2312"/>
          <w:sz w:val="28"/>
          <w:szCs w:val="28"/>
        </w:rPr>
        <w:t>五、存在的问题</w:t>
      </w:r>
      <w:bookmarkEnd w:id="78"/>
      <w:bookmarkEnd w:id="79"/>
      <w:bookmarkEnd w:id="80"/>
    </w:p>
    <w:p>
      <w:pPr>
        <w:pStyle w:val="10"/>
        <w:widowControl/>
        <w:numPr>
          <w:ilvl w:val="0"/>
          <w:numId w:val="1"/>
        </w:numPr>
        <w:spacing w:line="540" w:lineRule="exact"/>
        <w:ind w:firstLine="560" w:firstLineChars="200"/>
        <w:rPr>
          <w:rFonts w:ascii="宋体" w:hAnsi="宋体" w:cs="仿宋"/>
          <w:color w:val="000000"/>
          <w:sz w:val="28"/>
          <w:szCs w:val="28"/>
        </w:rPr>
      </w:pPr>
      <w:r>
        <w:rPr>
          <w:rFonts w:hint="eastAsia" w:ascii="宋体" w:hAnsi="宋体" w:cs="仿宋"/>
          <w:color w:val="000000"/>
          <w:sz w:val="28"/>
          <w:szCs w:val="28"/>
        </w:rPr>
        <w:t>资金管理不到位。未严格执行专项资金专账核算。可研费用、设计费与其他项目混同在街道办的基本支出-日常公用经费中列支，费用支出金额不明确。</w:t>
      </w:r>
    </w:p>
    <w:p>
      <w:pPr>
        <w:pStyle w:val="10"/>
        <w:widowControl/>
        <w:numPr>
          <w:ilvl w:val="0"/>
          <w:numId w:val="1"/>
        </w:numPr>
        <w:spacing w:line="540" w:lineRule="exact"/>
        <w:ind w:firstLine="560" w:firstLineChars="200"/>
        <w:rPr>
          <w:rFonts w:ascii="宋体" w:hAnsi="宋体" w:cs="仿宋"/>
          <w:color w:val="000000"/>
          <w:sz w:val="28"/>
          <w:szCs w:val="28"/>
        </w:rPr>
      </w:pPr>
      <w:r>
        <w:rPr>
          <w:rFonts w:hint="eastAsia" w:ascii="宋体" w:hAnsi="宋体" w:cs="仿宋"/>
          <w:color w:val="000000"/>
          <w:sz w:val="28"/>
          <w:szCs w:val="28"/>
        </w:rPr>
        <w:t>财务核算不规范。截至评价日，根据云溪街道办与云溪区建筑工程总公司签订的施工协议书，还有5%的工程质保金17.69万元未支付，但街道办未对此笔未付款进行挂账处理。</w:t>
      </w:r>
    </w:p>
    <w:p>
      <w:pPr>
        <w:pStyle w:val="10"/>
        <w:widowControl/>
        <w:spacing w:line="540" w:lineRule="exact"/>
        <w:ind w:firstLine="560" w:firstLineChars="200"/>
        <w:rPr>
          <w:rFonts w:ascii="宋体" w:hAnsi="宋体" w:cs="仿宋"/>
          <w:color w:val="000000"/>
          <w:sz w:val="28"/>
          <w:szCs w:val="28"/>
        </w:rPr>
      </w:pPr>
      <w:r>
        <w:rPr>
          <w:rFonts w:hint="eastAsia" w:ascii="宋体" w:hAnsi="宋体" w:cs="仿宋"/>
          <w:color w:val="000000"/>
          <w:sz w:val="28"/>
          <w:szCs w:val="28"/>
        </w:rPr>
        <w:t>3、项目监督管理不到位。一是未严格执行项目公示制度，项目公示内容不全。二是工程验收欠规范，工程项目竣工验收前未进行工程竣工财务决算审计，现场验收表上无验收时间。</w:t>
      </w:r>
    </w:p>
    <w:p>
      <w:pPr>
        <w:pStyle w:val="10"/>
        <w:widowControl/>
        <w:spacing w:line="540" w:lineRule="exact"/>
        <w:ind w:firstLine="560" w:firstLineChars="200"/>
        <w:rPr>
          <w:rFonts w:ascii="宋体" w:hAnsi="宋体" w:cs="仿宋"/>
          <w:color w:val="000000"/>
          <w:sz w:val="28"/>
          <w:szCs w:val="28"/>
        </w:rPr>
      </w:pPr>
      <w:r>
        <w:rPr>
          <w:rFonts w:hint="eastAsia" w:ascii="宋体" w:hAnsi="宋体" w:cs="仿宋"/>
          <w:color w:val="000000"/>
          <w:sz w:val="28"/>
          <w:szCs w:val="28"/>
        </w:rPr>
        <w:t>4、后续管护供水问题不能及时有效解决。根据评价小组现场调查，因电业局跟双花村在高压电的建设方面一直协商未果，供水电压不足，导致现在两村一直无法供水。该问题经上级各部门多方协调一个多月仍未得到有效解决。</w:t>
      </w:r>
    </w:p>
    <w:p>
      <w:pPr>
        <w:pStyle w:val="10"/>
        <w:widowControl/>
        <w:spacing w:line="540" w:lineRule="exact"/>
        <w:ind w:firstLine="562" w:firstLineChars="200"/>
        <w:rPr>
          <w:rStyle w:val="14"/>
          <w:rFonts w:ascii="宋体" w:hAnsi="宋体" w:cs="仿宋"/>
          <w:sz w:val="28"/>
          <w:szCs w:val="28"/>
        </w:rPr>
      </w:pPr>
      <w:r>
        <w:rPr>
          <w:rStyle w:val="14"/>
          <w:rFonts w:hint="eastAsia" w:ascii="宋体" w:hAnsi="宋体" w:cs="仿宋"/>
          <w:sz w:val="28"/>
          <w:szCs w:val="28"/>
        </w:rPr>
        <w:t>六、建议</w:t>
      </w:r>
    </w:p>
    <w:p>
      <w:pPr>
        <w:widowControl/>
        <w:spacing w:line="540" w:lineRule="exact"/>
        <w:ind w:firstLine="560" w:firstLineChars="200"/>
        <w:rPr>
          <w:rFonts w:ascii="宋体" w:hAnsi="宋体" w:cs="仿宋"/>
          <w:color w:val="000000"/>
          <w:kern w:val="0"/>
          <w:sz w:val="28"/>
          <w:szCs w:val="28"/>
        </w:rPr>
      </w:pPr>
      <w:r>
        <w:rPr>
          <w:rFonts w:hint="eastAsia" w:ascii="宋体" w:hAnsi="宋体" w:cs="仿宋"/>
          <w:color w:val="000000"/>
          <w:kern w:val="0"/>
          <w:sz w:val="28"/>
          <w:szCs w:val="28"/>
        </w:rPr>
        <w:t>1、规范项目运行，强化资金管理。项目支出应实行专账核算、专户管理。通过审计部门或向社会购买服务的方式，尽快组织竣工决算审计工作，及时完善竣工验收手续。</w:t>
      </w:r>
    </w:p>
    <w:p>
      <w:pPr>
        <w:widowControl/>
        <w:spacing w:line="540" w:lineRule="exact"/>
        <w:ind w:firstLine="560" w:firstLineChars="200"/>
        <w:rPr>
          <w:rFonts w:ascii="宋体" w:hAnsi="宋体" w:cs="仿宋"/>
          <w:color w:val="000000"/>
          <w:kern w:val="0"/>
          <w:sz w:val="28"/>
          <w:szCs w:val="28"/>
        </w:rPr>
      </w:pPr>
      <w:r>
        <w:rPr>
          <w:rFonts w:hint="eastAsia" w:ascii="宋体" w:hAnsi="宋体" w:cs="仿宋"/>
          <w:color w:val="000000"/>
          <w:kern w:val="0"/>
          <w:sz w:val="28"/>
          <w:szCs w:val="28"/>
        </w:rPr>
        <w:t>2、</w:t>
      </w:r>
      <w:r>
        <w:rPr>
          <w:rFonts w:hint="eastAsia" w:ascii="宋体" w:hAnsi="宋体" w:cs="仿宋"/>
          <w:color w:val="000000"/>
          <w:sz w:val="28"/>
          <w:szCs w:val="28"/>
        </w:rPr>
        <w:t>加强财务核算及管理，强化财务人员业务水平，提高会计信息质量，保证财务支出内容准确性。</w:t>
      </w:r>
    </w:p>
    <w:p>
      <w:pPr>
        <w:widowControl/>
        <w:spacing w:line="540" w:lineRule="exact"/>
        <w:ind w:firstLine="560" w:firstLineChars="200"/>
        <w:rPr>
          <w:rFonts w:ascii="宋体" w:hAnsi="宋体" w:cs="仿宋"/>
          <w:color w:val="000000"/>
          <w:sz w:val="28"/>
          <w:szCs w:val="28"/>
        </w:rPr>
      </w:pPr>
      <w:r>
        <w:rPr>
          <w:rFonts w:hint="eastAsia" w:ascii="宋体" w:hAnsi="宋体" w:cs="仿宋"/>
          <w:color w:val="000000"/>
          <w:sz w:val="28"/>
          <w:szCs w:val="28"/>
        </w:rPr>
        <w:t>3、加强项目实施管理，建立健全后期管护长效机制。严格执行农村安全饮水工程项目社会公示，验收合格后要及时办理交接手续，明确资产管理登记主体，压实管护责任，维护项目长期有效运行。</w:t>
      </w:r>
    </w:p>
    <w:p>
      <w:pPr>
        <w:pStyle w:val="2"/>
        <w:ind w:firstLine="560"/>
        <w:rPr>
          <w:rFonts w:ascii="宋体" w:hAnsi="宋体" w:eastAsia="宋体" w:cs="仿宋"/>
          <w:color w:val="000000"/>
          <w:szCs w:val="28"/>
        </w:rPr>
      </w:pPr>
      <w:r>
        <w:rPr>
          <w:rFonts w:hint="eastAsia" w:ascii="宋体" w:hAnsi="宋体" w:eastAsia="宋体" w:cs="仿宋"/>
          <w:color w:val="000000"/>
          <w:szCs w:val="28"/>
        </w:rPr>
        <w:t>4、尽快有效解决双花、清溪两村目前无法供水的问题。相关部门应结合当地实际情况，逐步完善并落实农村安饮工程建后运行管理制度。</w:t>
      </w:r>
    </w:p>
    <w:p>
      <w:pPr>
        <w:pStyle w:val="2"/>
        <w:ind w:firstLine="560"/>
        <w:rPr>
          <w:rFonts w:ascii="宋体" w:hAnsi="宋体" w:eastAsia="宋体" w:cs="仿宋"/>
          <w:color w:val="000000"/>
          <w:szCs w:val="28"/>
        </w:rPr>
      </w:pPr>
      <w:r>
        <w:rPr>
          <w:rFonts w:hint="eastAsia" w:ascii="宋体" w:hAnsi="宋体" w:eastAsia="宋体" w:cs="仿宋"/>
          <w:color w:val="000000"/>
          <w:szCs w:val="28"/>
        </w:rPr>
        <w:t>5、广泛宣传，提高入户率。要充分利用电视公益广告、网络、宣传栏、群众座谈会等，广泛开展多层次、多形式的农村饮水安全宣传普及，着力提高群众对饮水安全的认识水平，引导改变传统用水方式，树立正确的用水消费观。</w:t>
      </w:r>
    </w:p>
    <w:bookmarkEnd w:id="81"/>
    <w:bookmarkEnd w:id="82"/>
    <w:bookmarkEnd w:id="83"/>
    <w:p>
      <w:pPr>
        <w:pStyle w:val="10"/>
        <w:widowControl/>
        <w:spacing w:line="540" w:lineRule="exact"/>
        <w:ind w:firstLine="562" w:firstLineChars="200"/>
        <w:rPr>
          <w:rStyle w:val="14"/>
          <w:rFonts w:ascii="宋体" w:hAnsi="宋体"/>
          <w:sz w:val="28"/>
          <w:szCs w:val="28"/>
        </w:rPr>
      </w:pPr>
      <w:bookmarkStart w:id="84" w:name="_Toc12057"/>
      <w:bookmarkStart w:id="85" w:name="_Toc26143"/>
      <w:bookmarkStart w:id="86" w:name="_Toc29819"/>
      <w:r>
        <w:rPr>
          <w:rStyle w:val="14"/>
          <w:rFonts w:hint="eastAsia" w:ascii="宋体" w:hAnsi="宋体" w:cs="仿宋"/>
          <w:sz w:val="28"/>
          <w:szCs w:val="28"/>
        </w:rPr>
        <w:t>七、附件</w:t>
      </w:r>
      <w:bookmarkEnd w:id="84"/>
      <w:bookmarkEnd w:id="85"/>
      <w:bookmarkEnd w:id="86"/>
    </w:p>
    <w:p>
      <w:pPr>
        <w:pStyle w:val="2"/>
        <w:spacing w:line="360" w:lineRule="auto"/>
        <w:ind w:firstLine="560"/>
        <w:rPr>
          <w:rFonts w:ascii="宋体" w:hAnsi="宋体" w:eastAsia="宋体" w:cs="仿宋"/>
          <w:color w:val="000000"/>
          <w:kern w:val="0"/>
          <w:szCs w:val="28"/>
        </w:rPr>
      </w:pPr>
      <w:r>
        <w:rPr>
          <w:rFonts w:hint="eastAsia" w:ascii="宋体" w:hAnsi="宋体" w:eastAsia="宋体" w:cs="仿宋"/>
          <w:color w:val="000000"/>
          <w:kern w:val="0"/>
          <w:szCs w:val="28"/>
        </w:rPr>
        <w:t>1、清溪村、双花村联村安全饮水巩固提升项目支出绩效指标体系</w:t>
      </w:r>
    </w:p>
    <w:p>
      <w:pPr>
        <w:pStyle w:val="2"/>
        <w:spacing w:line="360" w:lineRule="auto"/>
        <w:ind w:firstLine="560"/>
        <w:rPr>
          <w:rFonts w:ascii="宋体" w:hAnsi="宋体" w:eastAsia="宋体" w:cs="仿宋"/>
          <w:color w:val="000000"/>
          <w:kern w:val="0"/>
          <w:szCs w:val="28"/>
        </w:rPr>
      </w:pPr>
      <w:r>
        <w:rPr>
          <w:rFonts w:hint="eastAsia" w:ascii="宋体" w:hAnsi="宋体" w:eastAsia="宋体" w:cs="仿宋"/>
          <w:color w:val="000000"/>
          <w:kern w:val="0"/>
          <w:szCs w:val="28"/>
        </w:rPr>
        <w:t>2、清溪村、双花村联村安全饮水巩固提升项目支出绩效评价评分表</w:t>
      </w:r>
    </w:p>
    <w:p>
      <w:pPr>
        <w:pStyle w:val="2"/>
        <w:spacing w:line="360" w:lineRule="auto"/>
        <w:ind w:firstLine="560"/>
        <w:rPr>
          <w:rFonts w:ascii="宋体" w:hAnsi="宋体" w:eastAsia="宋体" w:cs="仿宋"/>
          <w:bCs/>
          <w:color w:val="auto"/>
          <w:kern w:val="0"/>
          <w:szCs w:val="28"/>
        </w:rPr>
      </w:pPr>
      <w:r>
        <w:rPr>
          <w:rFonts w:hint="eastAsia" w:ascii="宋体" w:hAnsi="宋体" w:eastAsia="宋体" w:cs="仿宋"/>
          <w:bCs/>
          <w:color w:val="auto"/>
          <w:kern w:val="0"/>
          <w:szCs w:val="28"/>
        </w:rPr>
        <w:t>3、问卷调查统计表</w:t>
      </w:r>
    </w:p>
    <w:p>
      <w:pPr>
        <w:ind w:firstLine="4340" w:firstLineChars="1550"/>
        <w:rPr>
          <w:rFonts w:ascii="宋体" w:hAnsi="宋体" w:cs="仿宋"/>
          <w:bCs/>
          <w:sz w:val="28"/>
          <w:szCs w:val="28"/>
        </w:rPr>
      </w:pPr>
    </w:p>
    <w:p>
      <w:pPr>
        <w:ind w:firstLine="4340" w:firstLineChars="1550"/>
        <w:rPr>
          <w:rFonts w:ascii="宋体" w:hAnsi="宋体" w:cs="仿宋"/>
          <w:bCs/>
          <w:sz w:val="28"/>
          <w:szCs w:val="28"/>
        </w:rPr>
      </w:pPr>
      <w:r>
        <w:rPr>
          <w:rFonts w:hint="eastAsia" w:ascii="宋体" w:hAnsi="宋体" w:cs="仿宋"/>
          <w:bCs/>
          <w:sz w:val="28"/>
          <w:szCs w:val="28"/>
        </w:rPr>
        <w:t>湖南公众会计师事务所有限公司</w:t>
      </w:r>
    </w:p>
    <w:p>
      <w:pPr>
        <w:rPr>
          <w:rFonts w:ascii="仿宋" w:hAnsi="仿宋" w:eastAsia="仿宋" w:cs="仿宋"/>
          <w:sz w:val="28"/>
          <w:szCs w:val="28"/>
        </w:rPr>
      </w:pPr>
      <w:r>
        <w:rPr>
          <w:rFonts w:hint="eastAsia" w:ascii="宋体" w:hAnsi="宋体" w:cs="仿宋"/>
          <w:bCs/>
          <w:sz w:val="28"/>
          <w:szCs w:val="28"/>
        </w:rPr>
        <w:t xml:space="preserve">                                      20</w:t>
      </w:r>
      <w:r>
        <w:rPr>
          <w:rFonts w:ascii="宋体" w:hAnsi="宋体" w:cs="仿宋"/>
          <w:bCs/>
          <w:sz w:val="28"/>
          <w:szCs w:val="28"/>
        </w:rPr>
        <w:t>2</w:t>
      </w:r>
      <w:r>
        <w:rPr>
          <w:rFonts w:hint="eastAsia" w:ascii="宋体" w:hAnsi="宋体" w:cs="仿宋"/>
          <w:bCs/>
          <w:sz w:val="28"/>
          <w:szCs w:val="28"/>
        </w:rPr>
        <w:t>2</w:t>
      </w:r>
      <w:r>
        <w:rPr>
          <w:rFonts w:hint="eastAsia" w:ascii="宋体" w:hAnsi="宋体" w:cs="仿宋"/>
          <w:sz w:val="28"/>
          <w:szCs w:val="28"/>
        </w:rPr>
        <w:t>年8月31</w:t>
      </w:r>
      <w:r>
        <w:rPr>
          <w:rFonts w:hint="eastAsia" w:ascii="仿宋" w:hAnsi="仿宋" w:eastAsia="仿宋" w:cs="仿宋"/>
          <w:sz w:val="28"/>
          <w:szCs w:val="28"/>
        </w:rPr>
        <w:t>日</w:t>
      </w:r>
    </w:p>
    <w:p>
      <w:pPr>
        <w:widowControl/>
        <w:snapToGrid w:val="0"/>
        <w:spacing w:line="400" w:lineRule="exact"/>
        <w:jc w:val="left"/>
        <w:rPr>
          <w:rFonts w:ascii="Times New Roman" w:hAnsi="Times New Roman" w:eastAsia="黑体"/>
          <w:sz w:val="32"/>
          <w:szCs w:val="32"/>
        </w:rPr>
        <w:sectPr>
          <w:headerReference r:id="rId3" w:type="default"/>
          <w:footerReference r:id="rId4" w:type="default"/>
          <w:footerReference r:id="rId5" w:type="even"/>
          <w:pgSz w:w="11906" w:h="16838"/>
          <w:pgMar w:top="1531" w:right="1588" w:bottom="1531" w:left="1588" w:header="851" w:footer="992" w:gutter="0"/>
          <w:cols w:space="720" w:num="1"/>
          <w:titlePg/>
          <w:docGrid w:type="lines" w:linePitch="312" w:charSpace="0"/>
        </w:sectPr>
      </w:pPr>
    </w:p>
    <w:p/>
    <w:sectPr>
      <w:headerReference r:id="rId8" w:type="first"/>
      <w:footerReference r:id="rId11" w:type="first"/>
      <w:headerReference r:id="rId6" w:type="default"/>
      <w:footerReference r:id="rId9" w:type="default"/>
      <w:headerReference r:id="rId7" w:type="even"/>
      <w:footerReference r:id="rId10" w:type="even"/>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fldChar w:fldCharType="begin"/>
    </w:r>
    <w:r>
      <w:rPr>
        <w:rStyle w:val="13"/>
      </w:rPr>
      <w:instrText xml:space="preserve">PAGE  </w:instrText>
    </w:r>
    <w:r>
      <w:fldChar w:fldCharType="separate"/>
    </w:r>
    <w:r>
      <w:rPr>
        <w:rStyle w:val="13"/>
      </w:rPr>
      <w:t>6</w:t>
    </w:r>
    <w: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fldChar w:fldCharType="begin"/>
    </w:r>
    <w:r>
      <w:rPr>
        <w:rStyle w:val="13"/>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fldChar w:fldCharType="begin"/>
    </w:r>
    <w:r>
      <w:rPr>
        <w:rStyle w:val="13"/>
      </w:rPr>
      <w:instrText xml:space="preserve">PAGE  </w:instrText>
    </w:r>
    <w:r>
      <w:fldChar w:fldCharType="separate"/>
    </w:r>
    <w:r>
      <w:rPr>
        <w:rStyle w:val="13"/>
      </w:rPr>
      <w:t>15</w:t>
    </w:r>
    <w:r>
      <w:fldChar w:fldCharType="end"/>
    </w:r>
  </w:p>
  <w:p>
    <w:pPr>
      <w:pStyle w:val="6"/>
      <w:ind w:right="360"/>
      <w:rPr>
        <w:rStyle w:val="13"/>
      </w:rPr>
    </w:pPr>
  </w:p>
  <w:p>
    <w:pPr>
      <w:pStyle w:val="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fldChar w:fldCharType="begin"/>
    </w:r>
    <w:r>
      <w:rPr>
        <w:rStyle w:val="13"/>
      </w:rPr>
      <w:instrText xml:space="preserve">PAGE  </w:instrText>
    </w:r>
    <w:r>
      <w:fldChar w:fldCharType="end"/>
    </w:r>
  </w:p>
  <w:p>
    <w:pPr>
      <w:pStyle w:val="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D6CE1"/>
    <w:multiLevelType w:val="singleLevel"/>
    <w:tmpl w:val="946D6C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VlMmU3NmE5YmMzZDVhY2ViNzE3Y2E1MjIxYjI5OTAifQ=="/>
  </w:docVars>
  <w:rsids>
    <w:rsidRoot w:val="69C00C21"/>
    <w:rsid w:val="000624C1"/>
    <w:rsid w:val="00076D7E"/>
    <w:rsid w:val="000A49B9"/>
    <w:rsid w:val="000C29E2"/>
    <w:rsid w:val="000C3832"/>
    <w:rsid w:val="000C75A3"/>
    <w:rsid w:val="000D278F"/>
    <w:rsid w:val="000D76AE"/>
    <w:rsid w:val="00116EB9"/>
    <w:rsid w:val="00142BF4"/>
    <w:rsid w:val="001431F3"/>
    <w:rsid w:val="00146F9E"/>
    <w:rsid w:val="001A6D61"/>
    <w:rsid w:val="001B7292"/>
    <w:rsid w:val="001D0AA6"/>
    <w:rsid w:val="001E5E82"/>
    <w:rsid w:val="001F2A4E"/>
    <w:rsid w:val="001F4DBA"/>
    <w:rsid w:val="00216AFD"/>
    <w:rsid w:val="002469D5"/>
    <w:rsid w:val="00254FFD"/>
    <w:rsid w:val="00282DD7"/>
    <w:rsid w:val="0028604F"/>
    <w:rsid w:val="002A27B5"/>
    <w:rsid w:val="002A69A4"/>
    <w:rsid w:val="002D118F"/>
    <w:rsid w:val="002D2DA7"/>
    <w:rsid w:val="002D5F37"/>
    <w:rsid w:val="003321BC"/>
    <w:rsid w:val="0034030A"/>
    <w:rsid w:val="00343BD7"/>
    <w:rsid w:val="00377874"/>
    <w:rsid w:val="003A7305"/>
    <w:rsid w:val="003C37E1"/>
    <w:rsid w:val="003E1A43"/>
    <w:rsid w:val="003F7E8E"/>
    <w:rsid w:val="00417EE5"/>
    <w:rsid w:val="00421BD5"/>
    <w:rsid w:val="00422DEE"/>
    <w:rsid w:val="00447D2F"/>
    <w:rsid w:val="00450A4C"/>
    <w:rsid w:val="00457624"/>
    <w:rsid w:val="00467D70"/>
    <w:rsid w:val="00473B8C"/>
    <w:rsid w:val="00496F6A"/>
    <w:rsid w:val="004B1FE9"/>
    <w:rsid w:val="004C0547"/>
    <w:rsid w:val="004C14D6"/>
    <w:rsid w:val="004C6BF8"/>
    <w:rsid w:val="004D1AB2"/>
    <w:rsid w:val="004F7230"/>
    <w:rsid w:val="005075AD"/>
    <w:rsid w:val="00552AB2"/>
    <w:rsid w:val="005653AF"/>
    <w:rsid w:val="005779FB"/>
    <w:rsid w:val="00580A9B"/>
    <w:rsid w:val="00593372"/>
    <w:rsid w:val="005B5088"/>
    <w:rsid w:val="00611656"/>
    <w:rsid w:val="00613786"/>
    <w:rsid w:val="0062130D"/>
    <w:rsid w:val="00645C0D"/>
    <w:rsid w:val="0065147D"/>
    <w:rsid w:val="006807FC"/>
    <w:rsid w:val="0068695A"/>
    <w:rsid w:val="00687678"/>
    <w:rsid w:val="006943E7"/>
    <w:rsid w:val="006A5B96"/>
    <w:rsid w:val="006B243A"/>
    <w:rsid w:val="006B2DED"/>
    <w:rsid w:val="006B2E9C"/>
    <w:rsid w:val="006D113A"/>
    <w:rsid w:val="007354F6"/>
    <w:rsid w:val="0079412D"/>
    <w:rsid w:val="007C27B8"/>
    <w:rsid w:val="007D5C55"/>
    <w:rsid w:val="007D5DD7"/>
    <w:rsid w:val="007E788A"/>
    <w:rsid w:val="00812D5A"/>
    <w:rsid w:val="00815F2B"/>
    <w:rsid w:val="00816860"/>
    <w:rsid w:val="008169B8"/>
    <w:rsid w:val="00816CA4"/>
    <w:rsid w:val="00816ED8"/>
    <w:rsid w:val="0083185F"/>
    <w:rsid w:val="00843DE6"/>
    <w:rsid w:val="00857540"/>
    <w:rsid w:val="008637CF"/>
    <w:rsid w:val="008A3127"/>
    <w:rsid w:val="008C32FA"/>
    <w:rsid w:val="008C3E01"/>
    <w:rsid w:val="008F1A7E"/>
    <w:rsid w:val="009014F6"/>
    <w:rsid w:val="0090737F"/>
    <w:rsid w:val="009122EC"/>
    <w:rsid w:val="00912801"/>
    <w:rsid w:val="00926B59"/>
    <w:rsid w:val="00955583"/>
    <w:rsid w:val="009746D1"/>
    <w:rsid w:val="009812CC"/>
    <w:rsid w:val="0099533D"/>
    <w:rsid w:val="009A4CB8"/>
    <w:rsid w:val="009C2CA4"/>
    <w:rsid w:val="009E2876"/>
    <w:rsid w:val="009E6F64"/>
    <w:rsid w:val="009F231A"/>
    <w:rsid w:val="009F7F28"/>
    <w:rsid w:val="00A0073A"/>
    <w:rsid w:val="00A07BA6"/>
    <w:rsid w:val="00A263B1"/>
    <w:rsid w:val="00A273A9"/>
    <w:rsid w:val="00A40DBF"/>
    <w:rsid w:val="00A44D18"/>
    <w:rsid w:val="00A54C5C"/>
    <w:rsid w:val="00A658F9"/>
    <w:rsid w:val="00A90636"/>
    <w:rsid w:val="00A92A5C"/>
    <w:rsid w:val="00AB1E84"/>
    <w:rsid w:val="00AB65CC"/>
    <w:rsid w:val="00AE1158"/>
    <w:rsid w:val="00AF640A"/>
    <w:rsid w:val="00B4041F"/>
    <w:rsid w:val="00B6038E"/>
    <w:rsid w:val="00B719FC"/>
    <w:rsid w:val="00C04F80"/>
    <w:rsid w:val="00C07585"/>
    <w:rsid w:val="00C107FE"/>
    <w:rsid w:val="00C14C71"/>
    <w:rsid w:val="00C22EAB"/>
    <w:rsid w:val="00C3243E"/>
    <w:rsid w:val="00C33BB4"/>
    <w:rsid w:val="00C51BA8"/>
    <w:rsid w:val="00C627B3"/>
    <w:rsid w:val="00C65452"/>
    <w:rsid w:val="00C831DC"/>
    <w:rsid w:val="00CA4917"/>
    <w:rsid w:val="00CB1D90"/>
    <w:rsid w:val="00CB5376"/>
    <w:rsid w:val="00D006EC"/>
    <w:rsid w:val="00D23FC8"/>
    <w:rsid w:val="00D359DE"/>
    <w:rsid w:val="00D36910"/>
    <w:rsid w:val="00D43B91"/>
    <w:rsid w:val="00D62666"/>
    <w:rsid w:val="00D76B94"/>
    <w:rsid w:val="00D81156"/>
    <w:rsid w:val="00D81E55"/>
    <w:rsid w:val="00DA54EC"/>
    <w:rsid w:val="00DD5201"/>
    <w:rsid w:val="00DD63B6"/>
    <w:rsid w:val="00DD6B39"/>
    <w:rsid w:val="00E1713E"/>
    <w:rsid w:val="00E20A1E"/>
    <w:rsid w:val="00E30CCF"/>
    <w:rsid w:val="00E37E52"/>
    <w:rsid w:val="00E9135A"/>
    <w:rsid w:val="00EB2410"/>
    <w:rsid w:val="00ED6B73"/>
    <w:rsid w:val="00ED7659"/>
    <w:rsid w:val="00EE0122"/>
    <w:rsid w:val="00EF19E9"/>
    <w:rsid w:val="00F13EE5"/>
    <w:rsid w:val="00F35973"/>
    <w:rsid w:val="00F41D70"/>
    <w:rsid w:val="00F611F4"/>
    <w:rsid w:val="00F730D9"/>
    <w:rsid w:val="00F7754B"/>
    <w:rsid w:val="00F77B4C"/>
    <w:rsid w:val="00F82475"/>
    <w:rsid w:val="00FA670C"/>
    <w:rsid w:val="00FF36EE"/>
    <w:rsid w:val="0E7B1DFC"/>
    <w:rsid w:val="1D0978BC"/>
    <w:rsid w:val="2CED3F68"/>
    <w:rsid w:val="2FFB6D31"/>
    <w:rsid w:val="34C7719C"/>
    <w:rsid w:val="38577353"/>
    <w:rsid w:val="38590737"/>
    <w:rsid w:val="4B1F13E6"/>
    <w:rsid w:val="4BCD7ED5"/>
    <w:rsid w:val="5BAA650E"/>
    <w:rsid w:val="69C00C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4"/>
    <w:qFormat/>
    <w:uiPriority w:val="0"/>
    <w:pPr>
      <w:keepNext/>
      <w:keepLines/>
      <w:spacing w:before="340" w:after="330" w:line="576" w:lineRule="auto"/>
      <w:outlineLvl w:val="0"/>
    </w:pPr>
    <w:rPr>
      <w:b/>
      <w:kern w:val="44"/>
      <w:sz w:val="44"/>
    </w:rPr>
  </w:style>
  <w:style w:type="paragraph" w:styleId="5">
    <w:name w:val="heading 2"/>
    <w:basedOn w:val="1"/>
    <w:next w:val="1"/>
    <w:link w:val="15"/>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560" w:firstLineChars="200"/>
    </w:pPr>
    <w:rPr>
      <w:rFonts w:eastAsia="仿宋_GB2312"/>
      <w:color w:val="FF0000"/>
      <w:sz w:val="28"/>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tabs>
        <w:tab w:val="right" w:leader="dot" w:pos="8820"/>
      </w:tabs>
      <w:ind w:left="540" w:leftChars="257"/>
    </w:pPr>
  </w:style>
  <w:style w:type="paragraph" w:styleId="9">
    <w:name w:val="toc 2"/>
    <w:basedOn w:val="1"/>
    <w:next w:val="1"/>
    <w:qFormat/>
    <w:uiPriority w:val="0"/>
    <w:pPr>
      <w:ind w:left="420" w:leftChars="200"/>
    </w:pPr>
  </w:style>
  <w:style w:type="paragraph" w:styleId="10">
    <w:name w:val="Normal (Web)"/>
    <w:basedOn w:val="1"/>
    <w:qFormat/>
    <w:uiPriority w:val="0"/>
    <w:pPr>
      <w:jc w:val="left"/>
    </w:pPr>
    <w:rPr>
      <w:kern w:val="0"/>
      <w:sz w:val="24"/>
    </w:rPr>
  </w:style>
  <w:style w:type="character" w:styleId="13">
    <w:name w:val="page number"/>
    <w:basedOn w:val="12"/>
    <w:qFormat/>
    <w:uiPriority w:val="0"/>
  </w:style>
  <w:style w:type="character" w:customStyle="1" w:styleId="14">
    <w:name w:val="标题 1 Char"/>
    <w:link w:val="4"/>
    <w:qFormat/>
    <w:uiPriority w:val="0"/>
    <w:rPr>
      <w:b/>
      <w:kern w:val="44"/>
      <w:sz w:val="44"/>
    </w:rPr>
  </w:style>
  <w:style w:type="character" w:customStyle="1" w:styleId="15">
    <w:name w:val="标题 2 Char"/>
    <w:link w:val="5"/>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5656</Words>
  <Characters>6096</Characters>
  <Lines>51</Lines>
  <Paragraphs>14</Paragraphs>
  <TotalTime>2454</TotalTime>
  <ScaleCrop>false</ScaleCrop>
  <LinksUpToDate>false</LinksUpToDate>
  <CharactersWithSpaces>6335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2022-09-01T05:30:00Z</dcterms:created>
  <dc:creator>Moonn~</dc:creator>
  <cp:lastModifiedBy>明明</cp:lastModifiedBy>
  <dcterms:modified xsi:type="dcterms:W3CDTF">2022-09-28T00:45:48Z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9C9B21FD13D7413D8F0853D9A8F968D8</vt:lpwstr>
  </property>
</Properties>
</file>