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</w:rPr>
      </w:pPr>
      <w:bookmarkStart w:id="4" w:name="_GoBack"/>
      <w:r>
        <w:rPr>
          <w:rFonts w:hint="eastAsia" w:asciiTheme="majorEastAsia" w:hAnsiTheme="majorEastAsia" w:eastAsiaTheme="majorEastAsia" w:cstheme="majorEastAsia"/>
          <w:sz w:val="44"/>
          <w:szCs w:val="44"/>
        </w:rPr>
        <w:t>关于区本级2020年度财政支出绩效评价工作情况的报告</w:t>
      </w:r>
    </w:p>
    <w:bookmarkEnd w:id="4"/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pacing w:val="-6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根据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党的十九大提出建立规范透明、标准科学、约束有力的预算制度，全面实施绩效管理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的要求，近年来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我局高度重视，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积极部署，不断完善机制，强化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了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保障措施，提升了预算绩效管理水平，初步建立了绩效目标、绩效跟踪监控、绩效评价、结果应用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全面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闭环机制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为提高财政资金使用效益，确保更加精准地把钱花在“刀刃”上，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今年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我局充分发挥绩效评价作用，组织55家一级预算单位进行绩效自评，其中30万元以上项目51个，涉及评价金额12895万元；组织第三方机构对4个项目1个整体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支出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进行重点绩效评价，涉及金额4476.73万元。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现将第三方重点绩效评价项目要点分析情况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公开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如下,其中所涉及的项目实施情况、存在的问题和建议等主要内容及原始数据，均摘自第三方出具的重点绩效评价报告书。</w:t>
      </w: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评一：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云溪区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融媒体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中心20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19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年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度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整体支出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绩效评价得分86.4分，等级为“良好”。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一、项目主要绩效结论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区融媒体中心为提升区级媒体的传播力、引导力、影响力、公信力等方面发挥了重要作用。较好地完成了区领导交给的工作考核目标任务，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打造出的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优秀作品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在《人民日报》《湖南日报》《岳阳日报》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《人民网》、《新华网》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等主流媒体刊登，在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央视新闻、湖南卫视、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湖南经视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联播，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提升了云溪的知名度及美誉度，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延伸新闻宣传的覆盖面和影响力，</w:t>
      </w:r>
      <w:r>
        <w:rPr>
          <w:rFonts w:hint="eastAsia" w:ascii="仿宋" w:hAnsi="仿宋" w:eastAsia="仿宋" w:cs="仿宋"/>
          <w:sz w:val="32"/>
          <w:szCs w:val="32"/>
        </w:rPr>
        <w:t>巩固壮大主流思想舆论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特别是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区融媒体中心建成，成为岳阳市首家融媒体中心，对全市乃至全省具有示范引领作用。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二、部门整体收支完成情况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1、收入：2019年财务帐面收入638.61万元，包括：财政拨款预算收入605.78万元、事业预算收入32.83万元（单位其他资金来源收入财政返回预算）。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支出：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2019年财务帐面事业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493.47万元，包括：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基本支出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321.25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项目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支出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172.22万元,万元。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结转结存情况：2019年预算结存145.14万元；上年结转44.89万元，至2019年末累计结存190.03万元。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应付未付项目合同款176.58万元。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1、预算调整过大。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年初预算批复142.83万元，追加预算495.78万元，预算调整率77.63%。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2、部分支出超预算及预算范围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。一是部分支出超预算。商品和服务支出超预算14.85万元。二是部分支出超预算范围。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3、项目经费未专帐核算、专款专用。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4、部分会计科目核算不准确、不规范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。一是工会经费核算不准确、不规范，二是福利费核算不准确，三是部分支出凭证附件不合规。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5、存在部分合同支付无正式验收手续的现象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。一是区融媒体中心建设未办理竣工验收已交付使用；二是个别合同支付无验收或验收资料。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四、评价结果应用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1、查清错帐资金情况，做到帐帐、帐款、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帐实相符。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增强预算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管理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意识，严格预算支出管理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3、加快办理区融媒体中心建设竣工验收手续。</w:t>
      </w:r>
    </w:p>
    <w:p>
      <w:pPr>
        <w:pStyle w:val="2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评二：区行政审批服务局异地搬迁项目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绩效评定</w:t>
      </w:r>
      <w:r>
        <w:rPr>
          <w:rFonts w:hint="eastAsia" w:ascii="仿宋" w:hAnsi="仿宋" w:eastAsia="仿宋" w:cs="仿宋"/>
          <w:bCs/>
          <w:sz w:val="32"/>
          <w:szCs w:val="32"/>
        </w:rPr>
        <w:t>得分8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</w:rPr>
        <w:t>分，等级为“良”。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一、项目主要绩效结论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1"/>
        <w:rPr>
          <w:rFonts w:hint="eastAsia" w:ascii="仿宋" w:hAnsi="仿宋" w:eastAsia="仿宋" w:cs="仿宋"/>
          <w:bCs/>
          <w:sz w:val="32"/>
          <w:szCs w:val="32"/>
        </w:rPr>
      </w:pPr>
      <w:bookmarkStart w:id="0" w:name="_Toc32023"/>
      <w:bookmarkStart w:id="1" w:name="_Toc1318"/>
      <w:r>
        <w:rPr>
          <w:rFonts w:hint="eastAsia" w:ascii="仿宋" w:hAnsi="仿宋" w:eastAsia="仿宋" w:cs="仿宋"/>
          <w:bCs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bCs/>
          <w:sz w:val="32"/>
          <w:szCs w:val="32"/>
        </w:rPr>
        <w:instrText xml:space="preserve"> HYPERLINK \l _Toc2917 </w:instrText>
      </w:r>
      <w:r>
        <w:rPr>
          <w:rFonts w:hint="eastAsia" w:ascii="仿宋" w:hAnsi="仿宋" w:eastAsia="仿宋" w:cs="仿宋"/>
          <w:bCs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bCs/>
          <w:sz w:val="32"/>
          <w:szCs w:val="32"/>
        </w:rPr>
        <w:t>让人民群众享受到“互联网+政务服务”的发展成果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Cs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bCs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bCs/>
          <w:sz w:val="32"/>
          <w:szCs w:val="32"/>
        </w:rPr>
        <w:instrText xml:space="preserve"> HYPERLINK \l _Toc24537 </w:instrText>
      </w:r>
      <w:r>
        <w:rPr>
          <w:rFonts w:hint="eastAsia" w:ascii="仿宋" w:hAnsi="仿宋" w:eastAsia="仿宋" w:cs="仿宋"/>
          <w:bCs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bCs/>
          <w:sz w:val="32"/>
          <w:szCs w:val="32"/>
        </w:rPr>
        <w:t>营造了舒适便捷的服务环境和工作条件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Cs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bCs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bCs/>
          <w:sz w:val="32"/>
          <w:szCs w:val="32"/>
        </w:rPr>
        <w:instrText xml:space="preserve"> HYPERLINK \l _Toc17187 </w:instrText>
      </w:r>
      <w:r>
        <w:rPr>
          <w:rFonts w:hint="eastAsia" w:ascii="仿宋" w:hAnsi="仿宋" w:eastAsia="仿宋" w:cs="仿宋"/>
          <w:bCs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bCs/>
          <w:sz w:val="32"/>
          <w:szCs w:val="32"/>
        </w:rPr>
        <w:t>改进了工作作风，提高了服务质量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Cs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bCs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bCs/>
          <w:sz w:val="32"/>
          <w:szCs w:val="32"/>
        </w:rPr>
        <w:instrText xml:space="preserve"> HYPERLINK \l _Toc13168 </w:instrText>
      </w:r>
      <w:r>
        <w:rPr>
          <w:rFonts w:hint="eastAsia" w:ascii="仿宋" w:hAnsi="仿宋" w:eastAsia="仿宋" w:cs="仿宋"/>
          <w:bCs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bCs/>
          <w:sz w:val="32"/>
          <w:szCs w:val="32"/>
        </w:rPr>
        <w:t>实现政务公开，有效的防止腐败发生。</w:t>
      </w:r>
      <w:r>
        <w:rPr>
          <w:rFonts w:hint="eastAsia" w:ascii="仿宋" w:hAnsi="仿宋" w:eastAsia="仿宋" w:cs="仿宋"/>
          <w:bCs/>
          <w:sz w:val="32"/>
          <w:szCs w:val="32"/>
        </w:rPr>
        <w:fldChar w:fldCharType="end"/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firstLine="640" w:firstLineChars="200"/>
        <w:textAlignment w:val="auto"/>
        <w:outlineLvl w:val="2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项目建设主要内容</w:t>
      </w:r>
      <w:bookmarkEnd w:id="0"/>
      <w:bookmarkEnd w:id="1"/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bookmarkStart w:id="2" w:name="_Toc1884"/>
      <w:bookmarkStart w:id="3" w:name="_Toc17451"/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根据立项批复，工程建设主要内容及规模：一二层总建筑面积为3714.47平方米，主要对地面工程、墙面工程,顶面工程等进行改造，建设“互联网+政务服务”信息化系统和消防及空调新风系统。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根据预算批复，增加“互联网+政务服务”信息化建设电气工程（增加空调专用线、备用电源部分）。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40" w:lineRule="exact"/>
        <w:ind w:firstLine="640" w:firstLineChars="200"/>
        <w:textAlignment w:val="auto"/>
        <w:outlineLvl w:val="2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资金总体情况</w:t>
      </w:r>
      <w:bookmarkEnd w:id="2"/>
      <w:bookmarkEnd w:id="3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1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项目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立项</w:t>
      </w:r>
      <w:r>
        <w:rPr>
          <w:rFonts w:hint="eastAsia" w:ascii="仿宋" w:hAnsi="仿宋" w:eastAsia="仿宋" w:cs="仿宋"/>
          <w:bCs/>
          <w:sz w:val="32"/>
          <w:szCs w:val="32"/>
        </w:rPr>
        <w:t>940万元，财政评审金额908.9万元。至2019年末，区财政资金到帐1044.04万元；财务帐面项目支出总额876.94万元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预算内子项目支出645.03万元，预算外支出231.9万元）到帐</w:t>
      </w:r>
      <w:r>
        <w:rPr>
          <w:rFonts w:hint="eastAsia" w:ascii="仿宋" w:hAnsi="仿宋" w:eastAsia="仿宋" w:cs="仿宋"/>
          <w:bCs/>
          <w:sz w:val="32"/>
          <w:szCs w:val="32"/>
        </w:rPr>
        <w:t>资金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帐面</w:t>
      </w:r>
      <w:r>
        <w:rPr>
          <w:rFonts w:hint="eastAsia" w:ascii="仿宋" w:hAnsi="仿宋" w:eastAsia="仿宋" w:cs="仿宋"/>
          <w:bCs/>
          <w:sz w:val="32"/>
          <w:szCs w:val="32"/>
        </w:rPr>
        <w:t>结余167.1万元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Cs/>
          <w:sz w:val="32"/>
          <w:szCs w:val="32"/>
        </w:rPr>
        <w:t>2020年1-6月帐面支付73.21万元（其中预算内合同款62.96万元）帐面项目资金累计结余93.89万元。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2019年预算内结余399.01万元，扣除</w:t>
      </w:r>
      <w:r>
        <w:rPr>
          <w:rFonts w:hint="eastAsia" w:ascii="仿宋" w:hAnsi="仿宋" w:eastAsia="仿宋" w:cs="仿宋"/>
          <w:bCs/>
          <w:sz w:val="32"/>
          <w:szCs w:val="32"/>
        </w:rPr>
        <w:t>应付未付项目预算内合同金额185.58万元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,2019年预算内实际到帐资金结余213.43万元。至2020年6月到帐资金结余（预算内）结余150.47万。</w:t>
      </w:r>
    </w:p>
    <w:p>
      <w:pPr>
        <w:pStyle w:val="2"/>
        <w:numPr>
          <w:ilvl w:val="0"/>
          <w:numId w:val="0"/>
        </w:numPr>
        <w:ind w:leftChars="200" w:firstLine="320" w:firstLineChars="100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四、存在问题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bCs/>
          <w:sz w:val="32"/>
          <w:szCs w:val="32"/>
        </w:rPr>
        <w:instrText xml:space="preserve"> HYPERLINK \l _Toc27359 </w:instrText>
      </w:r>
      <w:r>
        <w:rPr>
          <w:rFonts w:hint="eastAsia" w:ascii="仿宋" w:hAnsi="仿宋" w:eastAsia="仿宋" w:cs="仿宋"/>
          <w:bCs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项目过程管理方面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Cs/>
          <w:sz w:val="32"/>
          <w:szCs w:val="32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instrText xml:space="preserve"> HYPERLINK \l _Toc24822 </w:instrTex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项目变更未办理相关手续。增加“互联网+政务服务”信息化建设电气施工预算37.95万元未报区发改局审核。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二是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instrText xml:space="preserve"> HYPERLINK \l _Toc30403 </w:instrTex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未办理竣工决算手续，提前交付使用。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instrText xml:space="preserve"> HYPERLINK \l _Toc13906 </w:instrTex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项目规划设计不完整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不利于预算管理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2、项目资金管理方面：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项目支出超预算范围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项目设计、监理、咨询报告等公用经费纳入项目核算，超预算范围，挤占了项目经费。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二是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超预算支出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财评金额908.9万元，至2019年末，财务帐面共支出876.94万元，但项目尚有应付未付合同款191.36万元，项目支出应为1068.3万元，超过财评审定金额159.4万元。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1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 xml:space="preserve">    3、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项目产出方面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Cs/>
          <w:sz w:val="32"/>
          <w:szCs w:val="32"/>
        </w:rPr>
        <w:t>项目合同完成时效滞后。个别任务未完成（暂未与绿色化工园企业服务中心、镇村两级便民服务平台对接融合）。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outlineLvl w:val="1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项目绩效方面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：一是</w:t>
      </w:r>
      <w:r>
        <w:rPr>
          <w:rFonts w:hint="eastAsia" w:ascii="仿宋" w:hAnsi="仿宋" w:eastAsia="仿宋" w:cs="仿宋"/>
          <w:bCs/>
          <w:sz w:val="32"/>
          <w:szCs w:val="32"/>
        </w:rPr>
        <w:t>审批专网无法实现互联互通信息共享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Cs/>
          <w:sz w:val="32"/>
          <w:szCs w:val="32"/>
        </w:rPr>
        <w:t>部门单位及事项进驻不彻底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评价结果应用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1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2"/>
          <w:szCs w:val="32"/>
        </w:rPr>
        <w:t>、加快办理终审及竣工决算手续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1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32"/>
          <w:szCs w:val="32"/>
        </w:rPr>
        <w:t>、加强对项目规划设计，控制好项目建设总规模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1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2"/>
          <w:szCs w:val="32"/>
        </w:rPr>
        <w:t>、加强预算管理，强化预算约束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1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</w:rPr>
        <w:t>、加快工作进度，完成目标任务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1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5、加强统筹协调，坚决落实应进尽进要求；</w:t>
      </w:r>
    </w:p>
    <w:p>
      <w:pPr>
        <w:pStyle w:val="2"/>
        <w:ind w:left="0" w:leftChars="0" w:firstLine="640" w:firstLineChars="200"/>
        <w:rPr>
          <w:rFonts w:hint="eastAsia" w:ascii="仿宋" w:hAnsi="仿宋" w:eastAsia="仿宋" w:cs="仿宋"/>
          <w:bCs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000000" w:themeColor="text1"/>
          <w:kern w:val="2"/>
          <w:sz w:val="32"/>
          <w:szCs w:val="32"/>
          <w:lang w:val="en-US" w:eastAsia="zh-CN" w:bidi="ar-SA"/>
        </w:rPr>
        <w:t>6、加强网络建设，推动线上线下集成融合。</w:t>
      </w:r>
    </w:p>
    <w:p>
      <w:pPr>
        <w:pStyle w:val="2"/>
        <w:ind w:left="0" w:leftChars="0" w:firstLine="640" w:firstLineChars="200"/>
        <w:rPr>
          <w:rFonts w:hint="eastAsia" w:ascii="仿宋" w:hAnsi="仿宋" w:eastAsia="仿宋" w:cs="仿宋"/>
          <w:bCs/>
          <w:color w:val="000000" w:themeColor="text1"/>
          <w:kern w:val="2"/>
          <w:sz w:val="32"/>
          <w:szCs w:val="32"/>
          <w:lang w:val="en-US" w:eastAsia="zh-CN" w:bidi="ar-SA"/>
        </w:rPr>
      </w:pPr>
    </w:p>
    <w:p>
      <w:pPr>
        <w:pStyle w:val="2"/>
        <w:ind w:left="0" w:leftChars="0"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评三：云溪区云溪街道八一村管网延伸工程项目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经评定，该项目得分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81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分，等级评定为“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良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”。</w:t>
      </w:r>
    </w:p>
    <w:p>
      <w:pPr>
        <w:numPr>
          <w:ilvl w:val="0"/>
          <w:numId w:val="2"/>
        </w:numPr>
        <w:spacing w:line="54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项目主要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绩效结论</w:t>
      </w:r>
    </w:p>
    <w:p>
      <w:pPr>
        <w:spacing w:line="540" w:lineRule="exact"/>
        <w:ind w:firstLine="640" w:firstLineChars="200"/>
        <w:outlineLvl w:val="1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改善了人民群众的生活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饮水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条件和健康状况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增强农村经济社会发展能力，促进乡镇区域经济的发展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推动农村生活环境的改善，居民满意度全面上升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密切了党群干群关系，促进了农村社会和谐。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 w:bidi="ar-SA"/>
        </w:rPr>
        <w:t>二、项目基本情况</w:t>
      </w:r>
    </w:p>
    <w:p>
      <w:pPr>
        <w:widowControl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云溪区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农村饮水安全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工程建设项目包括桃李村、建军村、八一村、建设村。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>本工程经云溪区水利局、云溪街道办事处、八一村、设计单位工作人员实地调查结合当地村民意愿，改造水源单一的问题。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八一村共有24个村民小组，934户3778人。本项目主要对八一村18个村组2942人（含光荣院200人、村部20人、八一学校220人、崔家、付塘、曾家、王冲、孙李、孙闾、朱冲、上门、老屋、老马、牌楼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</w:rPr>
        <w:t>碰通主管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并水改到户的供水需求）采取管网延伸方式接云溪区城市供水管理站双花水厂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</w:rPr>
        <w:t>出厂水</w:t>
      </w:r>
      <w:r>
        <w:rPr>
          <w:rFonts w:hint="eastAsia" w:ascii="仿宋" w:hAnsi="仿宋" w:eastAsia="仿宋" w:cs="仿宋"/>
          <w:b w:val="0"/>
          <w:bCs/>
          <w:color w:val="FF0000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工程设计规模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136.77m³/d（考虑预留为454.74 m³/d），工程设计年限15年，该项目仅包括配水工程一个部分，通过闸阀取用管道输送水延伸管网向用户供水。</w:t>
      </w:r>
    </w:p>
    <w:p>
      <w:pPr>
        <w:pStyle w:val="9"/>
        <w:numPr>
          <w:ilvl w:val="0"/>
          <w:numId w:val="0"/>
        </w:numPr>
        <w:spacing w:before="0" w:beforeAutospacing="0" w:after="0" w:afterAutospacing="0" w:line="54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资金总体情况</w:t>
      </w:r>
    </w:p>
    <w:p>
      <w:pPr>
        <w:pStyle w:val="9"/>
        <w:spacing w:before="0" w:beforeAutospacing="0" w:after="0" w:afterAutospacing="0" w:line="540" w:lineRule="exact"/>
        <w:ind w:firstLine="643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1、立项投资规模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及财评情况。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云溪区发改委批复立项，项目工程估算总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投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资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462.47万元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资金来源为自筹。云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溪区财政投资评审中心审定项目预算金额为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363.598万元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pStyle w:val="9"/>
        <w:numPr>
          <w:ilvl w:val="0"/>
          <w:numId w:val="0"/>
        </w:numPr>
        <w:spacing w:before="0" w:beforeAutospacing="0" w:after="0" w:afterAutospacing="0" w:line="540" w:lineRule="exact"/>
        <w:ind w:firstLine="643" w:firstLineChars="200"/>
        <w:jc w:val="both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资金投入及到帐情况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项目已投入312万元，其中：区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财政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拨付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扶贫资金到账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100万元、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云溪街道自有财政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资金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  <w:t>投入212万元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。</w:t>
      </w:r>
    </w:p>
    <w:p>
      <w:pPr>
        <w:pStyle w:val="9"/>
        <w:numPr>
          <w:ilvl w:val="0"/>
          <w:numId w:val="0"/>
        </w:numPr>
        <w:spacing w:before="0" w:beforeAutospacing="0" w:after="0" w:afterAutospacing="0" w:line="540" w:lineRule="exact"/>
        <w:ind w:firstLine="643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资金使用情况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至2020年8月，项目共支出312万元，均为项目工程建设合同款，其中：2019年支出项目工程进度款197万元，2020年支出项目工程进度款115万元；区财政扶贫资金支付100万元，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云溪街道办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自筹资金支付212万元。</w:t>
      </w:r>
    </w:p>
    <w:p>
      <w:pPr>
        <w:pStyle w:val="9"/>
        <w:spacing w:before="0" w:beforeAutospacing="0" w:after="0" w:afterAutospacing="0" w:line="540" w:lineRule="exact"/>
        <w:ind w:firstLine="643" w:firstLineChars="200"/>
        <w:jc w:val="both"/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 w:val="0"/>
          <w:color w:val="000000"/>
          <w:sz w:val="32"/>
          <w:szCs w:val="32"/>
        </w:rPr>
        <w:t>、合同签订与支付情况</w:t>
      </w:r>
    </w:p>
    <w:p>
      <w:pPr>
        <w:pStyle w:val="9"/>
        <w:spacing w:before="0" w:beforeAutospacing="0" w:after="0" w:afterAutospacing="0" w:line="540" w:lineRule="exact"/>
        <w:ind w:firstLine="640" w:firstLineChars="200"/>
        <w:jc w:val="both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至2020年8月末，项目独立签订合同2个，合同金额344.28万元，应付未付合同款32.28万元。</w:t>
      </w:r>
    </w:p>
    <w:p>
      <w:pPr>
        <w:pStyle w:val="2"/>
        <w:numPr>
          <w:ilvl w:val="0"/>
          <w:numId w:val="3"/>
        </w:numPr>
        <w:ind w:firstLine="640" w:firstLineChars="200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lang w:val="en-US" w:eastAsia="zh-CN"/>
        </w:rPr>
        <w:t>存在的问题</w:t>
      </w:r>
    </w:p>
    <w:p>
      <w:pPr>
        <w:numPr>
          <w:ilvl w:val="0"/>
          <w:numId w:val="0"/>
        </w:numPr>
        <w:spacing w:line="540" w:lineRule="exact"/>
        <w:ind w:firstLine="643" w:firstLineChars="200"/>
        <w:outlineLvl w:val="1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1、项目管理方面。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  <w:t>一是未办理竣工验收，提前办理了完工结算书。二是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项目完工后未及时进行验收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交付使用。</w:t>
      </w:r>
    </w:p>
    <w:p>
      <w:pPr>
        <w:numPr>
          <w:ilvl w:val="0"/>
          <w:numId w:val="0"/>
        </w:numPr>
        <w:spacing w:line="540" w:lineRule="exact"/>
        <w:ind w:firstLine="643" w:firstLineChars="200"/>
        <w:outlineLvl w:val="1"/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2、资金管理方面。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资金支付未按合同履约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根据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施工合同协议书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约定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本工程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预付款为合同总价20%，按月进度工程量支付80%，竣工验收审计后支付工程总量的95%，质量保证期一年后支付质保金5%。但在实际支付中，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  <w:t>至2020年1月16日止，已支付工程款312万元，已</w:t>
      </w:r>
      <w:r>
        <w:rPr>
          <w:rFonts w:hint="eastAsia" w:ascii="仿宋" w:hAnsi="仿宋" w:eastAsia="仿宋" w:cs="仿宋"/>
          <w:b w:val="0"/>
          <w:bCs/>
          <w:i w:val="0"/>
          <w:iCs w:val="0"/>
          <w:sz w:val="32"/>
          <w:szCs w:val="32"/>
          <w:highlight w:val="none"/>
          <w:lang w:val="en-US" w:eastAsia="zh-CN"/>
        </w:rPr>
        <w:t>支付总合同价款89.71%、支付结算书金额93.72%；但</w:t>
      </w:r>
      <w:r>
        <w:rPr>
          <w:rFonts w:hint="eastAsia" w:ascii="仿宋" w:hAnsi="仿宋" w:eastAsia="仿宋" w:cs="仿宋"/>
          <w:b w:val="0"/>
          <w:bCs/>
          <w:sz w:val="32"/>
          <w:szCs w:val="32"/>
          <w:highlight w:val="none"/>
          <w:lang w:val="en-US" w:eastAsia="zh-CN"/>
        </w:rPr>
        <w:t>项目验收为2020年9月8日，提前多付合同款约10%。</w:t>
      </w:r>
    </w:p>
    <w:p>
      <w:pPr>
        <w:numPr>
          <w:ilvl w:val="0"/>
          <w:numId w:val="0"/>
        </w:numPr>
        <w:spacing w:line="540" w:lineRule="exact"/>
        <w:ind w:firstLine="643" w:firstLineChars="200"/>
        <w:outlineLvl w:val="1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3、项目产出及效果方面。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一是部分工程未按合同要求开挖回填。二是供水率未达到100%。（原因：一是部分村民认为自来水价格较高（3.38/吨，自来水城市统一价）；二是自己原有取井水设备还可以使用；三是因有取井水设备的原因所以自来水尚未接通到户。）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评价结果应用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  <w:t>1、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>及时办理水质检测合格证明文件。</w:t>
      </w:r>
    </w:p>
    <w:p>
      <w:pPr>
        <w:widowControl/>
        <w:numPr>
          <w:ilvl w:val="0"/>
          <w:numId w:val="0"/>
        </w:numPr>
        <w:spacing w:line="540" w:lineRule="exact"/>
        <w:ind w:firstLine="640" w:firstLineChars="200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2、对部分工程未按合同要求开挖回填的问题处理进行处理。</w:t>
      </w:r>
    </w:p>
    <w:p>
      <w:pPr>
        <w:widowControl/>
        <w:numPr>
          <w:ilvl w:val="0"/>
          <w:numId w:val="0"/>
        </w:numPr>
        <w:spacing w:line="540" w:lineRule="exact"/>
        <w:ind w:firstLine="640" w:firstLineChars="200"/>
        <w:jc w:val="left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 w:bidi="ar"/>
        </w:rPr>
        <w:t>3、加大宣传力度，提升项目实施效果。</w:t>
      </w:r>
    </w:p>
    <w:p>
      <w:pPr>
        <w:numPr>
          <w:ilvl w:val="0"/>
          <w:numId w:val="0"/>
        </w:numPr>
        <w:spacing w:line="540" w:lineRule="exact"/>
        <w:ind w:firstLine="640" w:firstLineChars="200"/>
        <w:outlineLvl w:val="1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4、加强财务核算，加强对项目资金管理。</w:t>
      </w:r>
    </w:p>
    <w:p>
      <w:pPr>
        <w:numPr>
          <w:ilvl w:val="0"/>
          <w:numId w:val="0"/>
        </w:numPr>
        <w:spacing w:line="540" w:lineRule="exact"/>
        <w:ind w:firstLine="640" w:firstLineChars="200"/>
        <w:outlineLvl w:val="1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5、加强工程维护与管理。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评四：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</w:rPr>
        <w:t>岳阳市云溪区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</w:rPr>
        <w:t>2019年粮食储备费用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绩效评价得分77分，等级为“中”。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eastAsia="zh-CN"/>
        </w:rPr>
        <w:t>一、项目主要绩效结论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2019年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度，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完成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了云溪区政府下达的5000吨区级储备粮规模的任务，完成轮出轮入优质晚籼稻新粮2360吨，且未产生价差损失，为企业节约成本；大部分质量指标符合区政府要求的国家标准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，保证了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云溪区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粮食市场的有序交易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有计划的合理出库和入库，减少恶性竞争，减轻了财政和储备企业负担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确保区级储备粮储得进、管得好、调得动、用得上，具有良好社会效益及经济效益。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项目基本情况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按照《岳阳市云溪区区级储备粮管理办法》，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区级粮食储备费用主要保证支付区级储备粮在收购、销售、轮换过程中发生的的贷款利息、保管和轮换费用、价差损失、正常损失损耗等。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三、资金总体情况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Cs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2019区财政投入区级储备粮包干费用200万元，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帐面支出共计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244.49万元，财政拨入资金结余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-44.49万元。经审核，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highlight w:val="none"/>
          <w:lang w:val="en-US" w:eastAsia="zh-CN" w:bidi="ar-SA"/>
        </w:rPr>
        <w:t>帐面实际支出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207.49万元（剔除37万元未发生轮换费用。此费用虽在本年度未发生，但存在不确定性，建议应视实际发生情况确定），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实际符合项目范围支出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142.41万元，用于其他支出经费65.08万元。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  <w:t>四、存在的问题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粮食储备费用支出超范围。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惠新米业粮食储备费用支出207.49万元中，有65.08万元超粮食储备费用支出范围(用于职工工资43.72万元;在维修费用中支付简易仓库、办公楼、家属楼维修等非储备粮仓库维修费用21.36万元。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2、轮换销售价差分摊成本核算不准确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。根据惠新米业提供给区商务粮食局《2019年粮食储备费用使用明细表》，2019年支出中分摊轮换销售价差37万元，经审核，2019年购进与销售价均为每公斤2.4元，2019年惠新米业财务报表也无轮换销售价差损失，成本核算不准确，未真实反映当年成本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3、惠鑫米业没有专户存储区级轮换储备粮风险准备金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。惠鑫米业未按要求将定额包干补贴的12.5%，即25万元存入在农发行云溪支行开立的专用帐户中，用于弥补地方储备粮轮换过程中因市场发生重大变化、正常轮换费用不足而形成的亏损。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  <w:t>4、未与承储企业签订承储合同。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相关单位未与惠鑫米业签订承储合同，明确双方权利、义务的违约责任。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1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评价结果应用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</w:rPr>
        <w:t>建议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1、加强监管，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保证广大人民群众吃得放心、安心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2、改变费用包干方式，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亏由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财政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兜底。建议参照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周边县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市（区）的作法，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区级储备粮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费用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不采取包干形式，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更好地适应粮食市场新形势新变化，提高粮食安全保障程度，确保区级储备粮储得好、调得动、用得上，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加强监管，实现资金专款专用，节约预算成本。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3、专项资金实行专款专用。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 w:bidi="ar"/>
        </w:rPr>
        <w:t>4、按要求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专户存储区级轮换储备粮风险准备金。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5、加强轮入轮出储备粮质量监管。</w:t>
      </w:r>
    </w:p>
    <w:p>
      <w:pPr>
        <w:spacing w:line="1200" w:lineRule="exact"/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评五：云溪区妇幼保健计划生育服务中心异地迁建项目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经评定，该项目得分72分，等级评定为“中”。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highlight w:val="yellow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一、项目主要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绩效结论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该项目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贯彻落实党和国家方针政策，实现医疗资源的整合与共享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基础设施更新，提高本区妇幼保健和计划生育服务的服务能力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有利于维护社会稳定、提高入民生活水平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改善了就诊和住院条件，也改善了员工的工作条件。</w:t>
      </w:r>
    </w:p>
    <w:p>
      <w:pPr>
        <w:pStyle w:val="9"/>
        <w:spacing w:before="0" w:beforeAutospacing="0" w:after="0" w:afterAutospacing="0" w:line="540" w:lineRule="exact"/>
        <w:ind w:firstLine="640" w:firstLineChars="200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项目主要内容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1）</w:t>
      </w:r>
      <w:r>
        <w:rPr>
          <w:rFonts w:hint="eastAsia" w:ascii="仿宋" w:hAnsi="仿宋" w:eastAsia="仿宋" w:cs="仿宋"/>
          <w:bCs/>
          <w:sz w:val="32"/>
          <w:szCs w:val="32"/>
        </w:rPr>
        <w:t>总建筑面积7736平方米，其中新建面积3200㎡、改造面积4536平方米；拆除原有建筑面积1872.45㎡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jc w:val="both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2）</w:t>
      </w:r>
      <w:r>
        <w:rPr>
          <w:rFonts w:hint="eastAsia" w:ascii="仿宋" w:hAnsi="仿宋" w:eastAsia="仿宋" w:cs="仿宋"/>
          <w:bCs/>
          <w:sz w:val="32"/>
          <w:szCs w:val="32"/>
        </w:rPr>
        <w:t>计划新建孕产保健楼3号楼及附属配套道路广场、</w:t>
      </w:r>
      <w:r>
        <w:rPr>
          <w:rFonts w:hint="eastAsia" w:ascii="仿宋" w:hAnsi="仿宋" w:eastAsia="仿宋" w:cs="仿宋"/>
          <w:kern w:val="0"/>
          <w:sz w:val="32"/>
          <w:szCs w:val="32"/>
        </w:rPr>
        <w:t>地面停车场、绿地等其他变配电、给排水、消防、通风空调等公用工程。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3）</w:t>
      </w:r>
      <w:r>
        <w:rPr>
          <w:rFonts w:hint="eastAsia" w:ascii="仿宋" w:hAnsi="仿宋" w:eastAsia="仿宋" w:cs="仿宋"/>
          <w:kern w:val="0"/>
          <w:sz w:val="32"/>
          <w:szCs w:val="32"/>
        </w:rPr>
        <w:t>计划完成</w:t>
      </w:r>
      <w:r>
        <w:rPr>
          <w:rFonts w:hint="eastAsia" w:ascii="仿宋" w:hAnsi="仿宋" w:eastAsia="仿宋" w:cs="仿宋"/>
          <w:bCs/>
          <w:sz w:val="32"/>
          <w:szCs w:val="32"/>
        </w:rPr>
        <w:t>妇女保健楼（1#楼）、儿童保健楼（2#楼）装饰装修工程。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（4）</w:t>
      </w:r>
      <w:r>
        <w:rPr>
          <w:rFonts w:hint="eastAsia" w:ascii="仿宋" w:hAnsi="仿宋" w:eastAsia="仿宋" w:cs="仿宋"/>
          <w:bCs/>
          <w:sz w:val="32"/>
          <w:szCs w:val="32"/>
        </w:rPr>
        <w:t>是设置床位数80张，人员岗位数125个，卫生技术人员配备人数100名（总人数的80%）；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5）</w:t>
      </w:r>
      <w:r>
        <w:rPr>
          <w:rFonts w:hint="eastAsia" w:ascii="仿宋" w:hAnsi="仿宋" w:eastAsia="仿宋" w:cs="仿宋"/>
          <w:bCs/>
          <w:sz w:val="32"/>
          <w:szCs w:val="32"/>
        </w:rPr>
        <w:t>新院设计“四部一中心”即：孕产保健部、妇女保健部、儿童保健部、计划生育技术服务部及体检中心。</w:t>
      </w:r>
    </w:p>
    <w:p>
      <w:pPr>
        <w:pStyle w:val="9"/>
        <w:numPr>
          <w:ilvl w:val="0"/>
          <w:numId w:val="0"/>
        </w:numPr>
        <w:spacing w:before="0" w:beforeAutospacing="0" w:after="0" w:afterAutospacing="0" w:line="540" w:lineRule="exac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资金总体情况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项目投资估算2200万元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财政预算2200万元、自筹200万元）</w:t>
      </w:r>
      <w:r>
        <w:rPr>
          <w:rFonts w:hint="eastAsia" w:ascii="仿宋" w:hAnsi="仿宋" w:eastAsia="仿宋" w:cs="仿宋"/>
          <w:bCs/>
          <w:sz w:val="32"/>
          <w:szCs w:val="32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财政评审金额1843.94万元；</w:t>
      </w:r>
      <w:r>
        <w:rPr>
          <w:rFonts w:hint="eastAsia" w:ascii="仿宋" w:hAnsi="仿宋" w:eastAsia="仿宋" w:cs="仿宋"/>
          <w:bCs/>
          <w:sz w:val="32"/>
          <w:szCs w:val="32"/>
        </w:rPr>
        <w:t>至2020年6月末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，服务中心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收到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财政预算资金1870万元（其中向区卫健局借支项目预算经费100万元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；财务帐面项目支出总额1748.88万元，其中：预算批复内支付1414.26万元、预算外资金支出（自筹部分及其他支出）334.62万元；预算内财政已到帐资金结余455.74万元，预算内项目资金应付未付（合同款）266.18万元。</w:t>
      </w:r>
    </w:p>
    <w:p>
      <w:pPr>
        <w:spacing w:line="540" w:lineRule="exact"/>
        <w:ind w:firstLine="640" w:firstLineChars="200"/>
        <w:outlineLvl w:val="1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存在问题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/>
          <w:sz w:val="32"/>
          <w:szCs w:val="32"/>
        </w:rPr>
        <w:t>项目管理方面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项目立项面积变更未办理审批手续。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二是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存在消防安全隐患。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三是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未竣工验收，提前交付使用。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outlineLvl w:val="1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32"/>
          <w:szCs w:val="32"/>
        </w:rPr>
        <w:t>、预算及财务资金管理方面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项目专项资金未专帐核算，挤占项目资金334.62万元。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二是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超预算范围支出59.59万元。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三是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帐务处理不及时，报表未及时编制。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四是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调帐无相关领导签字。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1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项目产出及效果方面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未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按计划时效完成项目建设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未按计划完成目标任务。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二是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投入与产出不匹配，项目使用效益不明显。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三是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项目效果重视程度有待加强。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评价结果应用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1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2"/>
          <w:szCs w:val="32"/>
        </w:rPr>
        <w:t>、及时整改，尽快进行消防验收。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1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32"/>
          <w:szCs w:val="32"/>
        </w:rPr>
        <w:t>、加强预算管理，增强预算管理意识。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1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Cs/>
          <w:sz w:val="32"/>
          <w:szCs w:val="32"/>
        </w:rPr>
        <w:t>、重视本院职工意见，积极进行整改。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1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</w:rPr>
        <w:t>、强化制度建设，创新管理服务模式。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1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bCs/>
          <w:sz w:val="32"/>
          <w:szCs w:val="32"/>
        </w:rPr>
        <w:t>加快孕产楼装修装饰进度，尽快交付使用。</w:t>
      </w:r>
    </w:p>
    <w:p>
      <w:pPr>
        <w:pStyle w:val="2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附：2019年度财政支出重点绩效评价项目情况表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　岳阳市云溪区财政局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 xml:space="preserve">     </w:t>
      </w:r>
      <w:r>
        <w:rPr>
          <w:rFonts w:hint="eastAsia" w:ascii="仿宋" w:hAnsi="仿宋" w:eastAsia="仿宋" w:cs="仿宋"/>
          <w:bCs/>
          <w:color w:val="000000" w:themeColor="text1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</w:rPr>
        <w:t>2020年12月7日</w:t>
      </w:r>
    </w:p>
    <w:p>
      <w:pPr>
        <w:pStyle w:val="2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" w:hAnsi="仿宋" w:eastAsia="仿宋" w:cs="仿宋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contextualSpacing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contextualSpacing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2019年度财政支出重点绩效评价项目情况表</w:t>
      </w:r>
    </w:p>
    <w:tbl>
      <w:tblPr>
        <w:tblStyle w:val="11"/>
        <w:tblpPr w:leftFromText="180" w:rightFromText="180" w:vertAnchor="text" w:horzAnchor="page" w:tblpX="1935" w:tblpY="622"/>
        <w:tblOverlap w:val="never"/>
        <w:tblW w:w="8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3210"/>
        <w:gridCol w:w="2085"/>
        <w:gridCol w:w="1324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重点绩效评价项目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报告编号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项目资金（万元）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评价分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区融媒体中心整体支出</w:t>
            </w:r>
          </w:p>
        </w:tc>
        <w:tc>
          <w:tcPr>
            <w:tcW w:w="20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湘恒兴专审字（2020）第045号 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638.61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区行政审批服务局异地搬迁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湘恒兴专审字（2020）第043号 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1044.04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云溪区云溪街道八一村管网延伸工程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湘恒兴专审字（2020）第047号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312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区商务粮食局粮食储备费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湘恒兴专审字（2020）第046号 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区卫生健康局妇幼保健计划生育服务中心异地迁建项目</w:t>
            </w:r>
          </w:p>
        </w:tc>
        <w:tc>
          <w:tcPr>
            <w:tcW w:w="20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湘恒兴专审字（2020）第044号 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1870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contextualSpacing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sectPr>
      <w:footerReference r:id="rId3" w:type="default"/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98A64F"/>
    <w:multiLevelType w:val="singleLevel"/>
    <w:tmpl w:val="8898A64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0BFB435"/>
    <w:multiLevelType w:val="singleLevel"/>
    <w:tmpl w:val="A0BFB43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4F4AE8C"/>
    <w:multiLevelType w:val="singleLevel"/>
    <w:tmpl w:val="B4F4AE8C"/>
    <w:lvl w:ilvl="0" w:tentative="0">
      <w:start w:val="3"/>
      <w:numFmt w:val="decimal"/>
      <w:suff w:val="nothing"/>
      <w:lvlText w:val="%1、"/>
      <w:lvlJc w:val="left"/>
    </w:lvl>
  </w:abstractNum>
  <w:abstractNum w:abstractNumId="3">
    <w:nsid w:val="0A21FF26"/>
    <w:multiLevelType w:val="singleLevel"/>
    <w:tmpl w:val="0A21FF2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4A7DE0F9"/>
    <w:multiLevelType w:val="singleLevel"/>
    <w:tmpl w:val="4A7DE0F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0BCE"/>
    <w:rsid w:val="0003090E"/>
    <w:rsid w:val="00042E99"/>
    <w:rsid w:val="000464AB"/>
    <w:rsid w:val="00060F5F"/>
    <w:rsid w:val="00123B98"/>
    <w:rsid w:val="00310BCE"/>
    <w:rsid w:val="003E3032"/>
    <w:rsid w:val="003F47F8"/>
    <w:rsid w:val="003F7FC3"/>
    <w:rsid w:val="008707B1"/>
    <w:rsid w:val="009F0C0C"/>
    <w:rsid w:val="00D846F2"/>
    <w:rsid w:val="00F66E6A"/>
    <w:rsid w:val="010571BA"/>
    <w:rsid w:val="0145296F"/>
    <w:rsid w:val="019E7B9F"/>
    <w:rsid w:val="021D3DE1"/>
    <w:rsid w:val="02526C3B"/>
    <w:rsid w:val="02762085"/>
    <w:rsid w:val="02D21259"/>
    <w:rsid w:val="043B560B"/>
    <w:rsid w:val="04860BAD"/>
    <w:rsid w:val="04C27F9A"/>
    <w:rsid w:val="04EA56D1"/>
    <w:rsid w:val="05161846"/>
    <w:rsid w:val="06476253"/>
    <w:rsid w:val="06B52E73"/>
    <w:rsid w:val="073765DB"/>
    <w:rsid w:val="077D5930"/>
    <w:rsid w:val="08B505B4"/>
    <w:rsid w:val="08B82BB5"/>
    <w:rsid w:val="08F93F7F"/>
    <w:rsid w:val="0944046E"/>
    <w:rsid w:val="09BC1481"/>
    <w:rsid w:val="0A2408C3"/>
    <w:rsid w:val="0A615918"/>
    <w:rsid w:val="0A850AA9"/>
    <w:rsid w:val="0BD4269C"/>
    <w:rsid w:val="0C1B5C92"/>
    <w:rsid w:val="0C6943B8"/>
    <w:rsid w:val="0D1A01FB"/>
    <w:rsid w:val="0D1C0853"/>
    <w:rsid w:val="0D536AED"/>
    <w:rsid w:val="0D6B0398"/>
    <w:rsid w:val="0D9D26DF"/>
    <w:rsid w:val="0DFD5C30"/>
    <w:rsid w:val="0EA869A7"/>
    <w:rsid w:val="0EC15689"/>
    <w:rsid w:val="0F2466E1"/>
    <w:rsid w:val="0F880298"/>
    <w:rsid w:val="10054E57"/>
    <w:rsid w:val="102A4933"/>
    <w:rsid w:val="10E30CC5"/>
    <w:rsid w:val="1171293F"/>
    <w:rsid w:val="11AD7F85"/>
    <w:rsid w:val="11D14EE7"/>
    <w:rsid w:val="13591328"/>
    <w:rsid w:val="13D822E4"/>
    <w:rsid w:val="14510C73"/>
    <w:rsid w:val="14F14BDE"/>
    <w:rsid w:val="15E73603"/>
    <w:rsid w:val="161A394C"/>
    <w:rsid w:val="161E74E5"/>
    <w:rsid w:val="16A9259C"/>
    <w:rsid w:val="198C31A9"/>
    <w:rsid w:val="1AA27C74"/>
    <w:rsid w:val="1B7514C6"/>
    <w:rsid w:val="1C6056C0"/>
    <w:rsid w:val="1C7B2219"/>
    <w:rsid w:val="1D7631A9"/>
    <w:rsid w:val="1F353A35"/>
    <w:rsid w:val="1F6A1B70"/>
    <w:rsid w:val="1FBC4128"/>
    <w:rsid w:val="20DD715D"/>
    <w:rsid w:val="20ED5450"/>
    <w:rsid w:val="20F823CD"/>
    <w:rsid w:val="22326586"/>
    <w:rsid w:val="2243519B"/>
    <w:rsid w:val="235067E9"/>
    <w:rsid w:val="24ED106B"/>
    <w:rsid w:val="24FF01A5"/>
    <w:rsid w:val="27EB6940"/>
    <w:rsid w:val="2909002F"/>
    <w:rsid w:val="292B0738"/>
    <w:rsid w:val="2AC53C48"/>
    <w:rsid w:val="2B0424BD"/>
    <w:rsid w:val="2BD77B7C"/>
    <w:rsid w:val="2C927268"/>
    <w:rsid w:val="2D2C4831"/>
    <w:rsid w:val="2DA84216"/>
    <w:rsid w:val="303E4FB3"/>
    <w:rsid w:val="31B3324D"/>
    <w:rsid w:val="32150DDF"/>
    <w:rsid w:val="32562FB8"/>
    <w:rsid w:val="32710C3A"/>
    <w:rsid w:val="32B020FE"/>
    <w:rsid w:val="33A37CE9"/>
    <w:rsid w:val="33E048EA"/>
    <w:rsid w:val="34637E20"/>
    <w:rsid w:val="34755996"/>
    <w:rsid w:val="35477FFE"/>
    <w:rsid w:val="35D37671"/>
    <w:rsid w:val="35D430D7"/>
    <w:rsid w:val="35F53BE7"/>
    <w:rsid w:val="368912AF"/>
    <w:rsid w:val="36D50A7D"/>
    <w:rsid w:val="37637878"/>
    <w:rsid w:val="382E3BCB"/>
    <w:rsid w:val="38C8321F"/>
    <w:rsid w:val="39024FB8"/>
    <w:rsid w:val="392E7B71"/>
    <w:rsid w:val="39722F53"/>
    <w:rsid w:val="39911AAD"/>
    <w:rsid w:val="3A55422D"/>
    <w:rsid w:val="3A941E87"/>
    <w:rsid w:val="3BA21C27"/>
    <w:rsid w:val="3C0800C4"/>
    <w:rsid w:val="3D47775A"/>
    <w:rsid w:val="3D9B1258"/>
    <w:rsid w:val="3DA53790"/>
    <w:rsid w:val="3F576FC5"/>
    <w:rsid w:val="3F8C6972"/>
    <w:rsid w:val="400C261D"/>
    <w:rsid w:val="4011231D"/>
    <w:rsid w:val="408E0623"/>
    <w:rsid w:val="412567B9"/>
    <w:rsid w:val="416C7F27"/>
    <w:rsid w:val="41861AC7"/>
    <w:rsid w:val="421A3E8F"/>
    <w:rsid w:val="422B7F77"/>
    <w:rsid w:val="42AD55AE"/>
    <w:rsid w:val="42C83B35"/>
    <w:rsid w:val="42EE0764"/>
    <w:rsid w:val="43D634FD"/>
    <w:rsid w:val="446F4136"/>
    <w:rsid w:val="44D57AC5"/>
    <w:rsid w:val="44DA0D38"/>
    <w:rsid w:val="45035390"/>
    <w:rsid w:val="45095D02"/>
    <w:rsid w:val="45274F00"/>
    <w:rsid w:val="472A4DC9"/>
    <w:rsid w:val="48107BE7"/>
    <w:rsid w:val="48237B34"/>
    <w:rsid w:val="48B36DCD"/>
    <w:rsid w:val="48C27699"/>
    <w:rsid w:val="4A031960"/>
    <w:rsid w:val="4AF30F42"/>
    <w:rsid w:val="4B03422F"/>
    <w:rsid w:val="4BB2184A"/>
    <w:rsid w:val="4C8927DF"/>
    <w:rsid w:val="4CB265E6"/>
    <w:rsid w:val="4D685C50"/>
    <w:rsid w:val="4E4125A9"/>
    <w:rsid w:val="4E98239B"/>
    <w:rsid w:val="4EBD5117"/>
    <w:rsid w:val="4EC91D12"/>
    <w:rsid w:val="50EA35AB"/>
    <w:rsid w:val="535F2DF1"/>
    <w:rsid w:val="53F27343"/>
    <w:rsid w:val="54022D61"/>
    <w:rsid w:val="54523DA5"/>
    <w:rsid w:val="54B25B3E"/>
    <w:rsid w:val="557069C8"/>
    <w:rsid w:val="55E9048C"/>
    <w:rsid w:val="56727863"/>
    <w:rsid w:val="56DE1E7C"/>
    <w:rsid w:val="56EE735B"/>
    <w:rsid w:val="581F30FC"/>
    <w:rsid w:val="582768FD"/>
    <w:rsid w:val="587D29B1"/>
    <w:rsid w:val="598E62BE"/>
    <w:rsid w:val="59E95FE9"/>
    <w:rsid w:val="5A2606DB"/>
    <w:rsid w:val="5A7F4A16"/>
    <w:rsid w:val="5B6B7B1D"/>
    <w:rsid w:val="5BDE00E1"/>
    <w:rsid w:val="5C1000EF"/>
    <w:rsid w:val="5C635BE0"/>
    <w:rsid w:val="5C6F4283"/>
    <w:rsid w:val="5C9F5DB8"/>
    <w:rsid w:val="5CA56A42"/>
    <w:rsid w:val="5D311369"/>
    <w:rsid w:val="5D8B2F76"/>
    <w:rsid w:val="5E020716"/>
    <w:rsid w:val="5E662837"/>
    <w:rsid w:val="5F474115"/>
    <w:rsid w:val="5FBD1EB1"/>
    <w:rsid w:val="5FCD487E"/>
    <w:rsid w:val="609C1F4E"/>
    <w:rsid w:val="60AD3845"/>
    <w:rsid w:val="61206E2C"/>
    <w:rsid w:val="61D415F5"/>
    <w:rsid w:val="62B96F51"/>
    <w:rsid w:val="633F2FE2"/>
    <w:rsid w:val="637D33C6"/>
    <w:rsid w:val="64462DB2"/>
    <w:rsid w:val="672971E8"/>
    <w:rsid w:val="67CE1FB6"/>
    <w:rsid w:val="67DC060B"/>
    <w:rsid w:val="684D47F0"/>
    <w:rsid w:val="6976724E"/>
    <w:rsid w:val="69D65D97"/>
    <w:rsid w:val="6AEA5893"/>
    <w:rsid w:val="6B5F5E67"/>
    <w:rsid w:val="6BE27242"/>
    <w:rsid w:val="6BF865CB"/>
    <w:rsid w:val="6CFE18C5"/>
    <w:rsid w:val="6D224E14"/>
    <w:rsid w:val="6DED69E5"/>
    <w:rsid w:val="6F735C1B"/>
    <w:rsid w:val="6FA877F4"/>
    <w:rsid w:val="706C2B96"/>
    <w:rsid w:val="709B3C92"/>
    <w:rsid w:val="71A5473A"/>
    <w:rsid w:val="71BA5F68"/>
    <w:rsid w:val="73F9407B"/>
    <w:rsid w:val="74D53640"/>
    <w:rsid w:val="758B5DBF"/>
    <w:rsid w:val="75FD41BA"/>
    <w:rsid w:val="76D029EC"/>
    <w:rsid w:val="76DE746F"/>
    <w:rsid w:val="77642861"/>
    <w:rsid w:val="77CA576C"/>
    <w:rsid w:val="78883925"/>
    <w:rsid w:val="79160249"/>
    <w:rsid w:val="791C667F"/>
    <w:rsid w:val="795550F1"/>
    <w:rsid w:val="79871EF5"/>
    <w:rsid w:val="799C3193"/>
    <w:rsid w:val="7A5256F9"/>
    <w:rsid w:val="7A8166AB"/>
    <w:rsid w:val="7AEB64F5"/>
    <w:rsid w:val="7B6473D8"/>
    <w:rsid w:val="7B6F579C"/>
    <w:rsid w:val="7B8A2DC0"/>
    <w:rsid w:val="7CD835BC"/>
    <w:rsid w:val="7D2639B4"/>
    <w:rsid w:val="7DCB05D4"/>
    <w:rsid w:val="7DFD3F4F"/>
    <w:rsid w:val="7E6762E2"/>
    <w:rsid w:val="7F7B3ED7"/>
    <w:rsid w:val="7F8531AA"/>
    <w:rsid w:val="7FB20556"/>
    <w:rsid w:val="7FFB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eastAsia="仿宋_GB2312"/>
      <w:color w:val="FF0000"/>
      <w:sz w:val="28"/>
      <w:szCs w:val="20"/>
    </w:rPr>
  </w:style>
  <w:style w:type="paragraph" w:styleId="7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563C1"/>
      <w:u w:val="single"/>
    </w:rPr>
  </w:style>
  <w:style w:type="paragraph" w:customStyle="1" w:styleId="14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1</Pages>
  <Words>57</Words>
  <Characters>327</Characters>
  <Lines>2</Lines>
  <Paragraphs>1</Paragraphs>
  <TotalTime>2</TotalTime>
  <ScaleCrop>false</ScaleCrop>
  <LinksUpToDate>false</LinksUpToDate>
  <CharactersWithSpaces>383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2020-10-30T01:22:00Z</dcterms:created>
  <dc:creator>Administrator</dc:creator>
  <cp:lastModifiedBy>郁离</cp:lastModifiedBy>
  <dcterms:modified xsi:type="dcterms:W3CDTF">2021-12-08T08:01:48Z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740EDDE47E084D3D99F54D6B2B297B9B</vt:lpwstr>
  </property>
</Properties>
</file>