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jc w:val="center"/>
        <w:rPr>
          <w:sz w:val="56"/>
          <w:szCs w:val="56"/>
        </w:rPr>
      </w:pPr>
    </w:p>
    <w:p>
      <w:pPr>
        <w:pStyle w:val="5"/>
        <w:jc w:val="center"/>
        <w:rPr>
          <w:sz w:val="56"/>
          <w:szCs w:val="56"/>
        </w:rPr>
      </w:pPr>
    </w:p>
    <w:p>
      <w:pPr>
        <w:pStyle w:val="5"/>
        <w:jc w:val="center"/>
        <w:rPr>
          <w:sz w:val="84"/>
          <w:szCs w:val="84"/>
        </w:rPr>
      </w:pPr>
    </w:p>
    <w:p>
      <w:pPr>
        <w:pStyle w:val="5"/>
        <w:jc w:val="center"/>
        <w:rPr>
          <w:sz w:val="84"/>
          <w:szCs w:val="84"/>
        </w:rPr>
      </w:pPr>
    </w:p>
    <w:p>
      <w:pPr>
        <w:pStyle w:val="5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202</w:t>
      </w:r>
      <w:r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  <w:t>2</w:t>
      </w: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年度</w:t>
      </w:r>
    </w:p>
    <w:p>
      <w:pPr>
        <w:pStyle w:val="5"/>
        <w:jc w:val="center"/>
        <w:rPr>
          <w:rFonts w:hint="eastAsia"/>
          <w:sz w:val="84"/>
          <w:szCs w:val="84"/>
          <w:lang w:eastAsia="zh-CN"/>
        </w:rPr>
      </w:pPr>
      <w:r>
        <w:rPr>
          <w:rFonts w:hint="eastAsia"/>
          <w:sz w:val="84"/>
          <w:szCs w:val="84"/>
          <w:lang w:eastAsia="zh-CN"/>
        </w:rPr>
        <w:t>岳阳市公共卫生医治中心</w:t>
      </w:r>
    </w:p>
    <w:p>
      <w:pPr>
        <w:pStyle w:val="5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部门决算</w:t>
      </w:r>
    </w:p>
    <w:p>
      <w:pPr>
        <w:pStyle w:val="5"/>
        <w:jc w:val="center"/>
        <w:rPr>
          <w:rFonts w:hint="eastAsia" w:ascii="方正小标宋_GBK" w:hAnsi="方正小标宋_GBK" w:eastAsia="方正小标宋_GBK" w:cs="方正小标宋_GBK"/>
          <w:sz w:val="56"/>
          <w:szCs w:val="56"/>
        </w:rPr>
      </w:pPr>
    </w:p>
    <w:p>
      <w:pPr>
        <w:pStyle w:val="5"/>
        <w:jc w:val="center"/>
        <w:rPr>
          <w:sz w:val="56"/>
          <w:szCs w:val="56"/>
        </w:rPr>
      </w:pPr>
    </w:p>
    <w:p>
      <w:pPr>
        <w:pStyle w:val="5"/>
        <w:jc w:val="center"/>
        <w:rPr>
          <w:sz w:val="56"/>
          <w:szCs w:val="56"/>
        </w:rPr>
      </w:pPr>
    </w:p>
    <w:p>
      <w:pPr>
        <w:pStyle w:val="5"/>
        <w:jc w:val="center"/>
        <w:rPr>
          <w:sz w:val="56"/>
          <w:szCs w:val="56"/>
        </w:rPr>
      </w:pPr>
    </w:p>
    <w:p>
      <w:pPr>
        <w:pStyle w:val="5"/>
        <w:jc w:val="center"/>
        <w:rPr>
          <w:sz w:val="32"/>
          <w:szCs w:val="32"/>
        </w:rPr>
      </w:pPr>
    </w:p>
    <w:p>
      <w:pPr>
        <w:pStyle w:val="5"/>
        <w:jc w:val="center"/>
        <w:rPr>
          <w:sz w:val="32"/>
          <w:szCs w:val="32"/>
        </w:rPr>
      </w:pPr>
    </w:p>
    <w:p>
      <w:pPr>
        <w:pStyle w:val="5"/>
        <w:jc w:val="center"/>
        <w:rPr>
          <w:sz w:val="32"/>
          <w:szCs w:val="32"/>
        </w:rPr>
      </w:pPr>
    </w:p>
    <w:p>
      <w:pPr>
        <w:pStyle w:val="5"/>
        <w:jc w:val="center"/>
        <w:rPr>
          <w:sz w:val="32"/>
          <w:szCs w:val="32"/>
        </w:rPr>
      </w:pPr>
    </w:p>
    <w:p>
      <w:pPr>
        <w:pStyle w:val="5"/>
        <w:spacing w:line="500" w:lineRule="exact"/>
        <w:jc w:val="both"/>
        <w:rPr>
          <w:b/>
          <w:sz w:val="36"/>
          <w:szCs w:val="28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jc w:val="center"/>
        <w:textAlignment w:val="auto"/>
        <w:rPr>
          <w:b/>
          <w:sz w:val="36"/>
          <w:szCs w:val="28"/>
        </w:rPr>
      </w:pPr>
      <w:r>
        <w:rPr>
          <w:rFonts w:hint="eastAsia"/>
          <w:b/>
          <w:sz w:val="36"/>
          <w:szCs w:val="28"/>
        </w:rPr>
        <w:t>目录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textAlignment w:val="auto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第一部分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hAnsi="黑体" w:cs="黑体"/>
          <w:b w:val="0"/>
          <w:bCs/>
          <w:sz w:val="28"/>
          <w:szCs w:val="28"/>
          <w:lang w:val="en-US" w:eastAsia="zh-CN"/>
        </w:rPr>
        <w:t>岳阳市公共卫生医治中心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单位概况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一、部门职责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二、机构设置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及决算单位构成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textAlignment w:val="auto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第二部分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部门决算表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一、收入支出决算总表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二、收入决算表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三、支出决算表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四、财政拨款收入支出决算总表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五、一般公共预算财政拨款支出决算表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六、一般公共预算财政拨款基本支出决算明细表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七、政府性基金预算财政拨款收入支出决算表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八、国有资本经营预算财政拨款支出决算表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九、财政拨款“三公”经费支出决算表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textAlignment w:val="auto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第三部分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部门决算情况说明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一、收入支出决算总体情况说明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二、收入决算情况说明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三、支出决算情况说明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四、财政拨款收入支出决算总体情况说明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五、一般公共预算财政拨款支出决算情况说明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六、一般公共预算财政拨款基本支出决算情况说明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七、政府性基金预算收入支出决算情况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八、</w:t>
      </w:r>
      <w:r>
        <w:rPr>
          <w:rFonts w:hint="eastAsia" w:ascii="仿宋_GB2312" w:hAnsi="仿宋_GB2312" w:eastAsia="仿宋_GB2312" w:cs="仿宋_GB2312"/>
          <w:sz w:val="28"/>
          <w:szCs w:val="28"/>
        </w:rPr>
        <w:t>国有资本经营预算财政拨款支出决算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九、财政拨款三公经费支出决算情况说明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十、关于机关运行经费支出说明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十一、一般性支出情况说明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十二、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关于政府采购支出说明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十三、关于国有资产占用情况说明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十四、</w:t>
      </w:r>
      <w:r>
        <w:rPr>
          <w:rFonts w:hint="eastAsia" w:ascii="仿宋_GB2312" w:hAnsi="仿宋_GB2312" w:eastAsia="仿宋_GB2312" w:cs="仿宋_GB2312"/>
          <w:sz w:val="28"/>
          <w:szCs w:val="28"/>
        </w:rPr>
        <w:t>关于预算绩效情况的说明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textAlignment w:val="auto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第四部分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名词解释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textAlignment w:val="auto"/>
        <w:rPr>
          <w:rFonts w:hint="default" w:ascii="黑体" w:hAnsi="黑体" w:eastAsia="黑体" w:cs="黑体"/>
          <w:b w:val="0"/>
          <w:bCs/>
          <w:sz w:val="28"/>
          <w:szCs w:val="28"/>
          <w:lang w:val="en-US" w:eastAsia="zh-CN"/>
        </w:rPr>
      </w:pPr>
      <w:r>
        <w:rPr>
          <w:rFonts w:hint="eastAsia" w:hAnsi="黑体" w:cs="黑体"/>
          <w:b w:val="0"/>
          <w:bCs/>
          <w:sz w:val="28"/>
          <w:szCs w:val="28"/>
          <w:lang w:eastAsia="zh-CN"/>
        </w:rPr>
        <w:t>第五部分</w:t>
      </w:r>
      <w:r>
        <w:rPr>
          <w:rFonts w:hint="eastAsia" w:hAnsi="黑体" w:cs="黑体"/>
          <w:b w:val="0"/>
          <w:bCs/>
          <w:sz w:val="28"/>
          <w:szCs w:val="28"/>
          <w:lang w:val="en-US" w:eastAsia="zh-CN"/>
        </w:rPr>
        <w:t xml:space="preserve"> 附件</w:t>
      </w: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5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 xml:space="preserve">第一部分 </w:t>
      </w:r>
    </w:p>
    <w:p>
      <w:pPr>
        <w:pStyle w:val="5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5"/>
        <w:jc w:val="center"/>
        <w:rPr>
          <w:rFonts w:hint="eastAsia" w:ascii="方正小标宋_GBK" w:hAnsi="方正小标宋_GBK" w:eastAsia="方正小标宋_GBK" w:cs="方正小标宋_GBK"/>
          <w:sz w:val="84"/>
          <w:szCs w:val="8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  <w:lang w:eastAsia="zh-CN"/>
        </w:rPr>
        <w:t>岳阳市公共卫生医治中心</w:t>
      </w:r>
    </w:p>
    <w:p>
      <w:pPr>
        <w:pStyle w:val="5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pStyle w:val="6"/>
        <w:numPr>
          <w:ilvl w:val="0"/>
          <w:numId w:val="1"/>
        </w:numPr>
        <w:ind w:firstLineChars="0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部门职责</w:t>
      </w:r>
    </w:p>
    <w:p>
      <w:pPr>
        <w:keepNext/>
        <w:keepLines/>
        <w:shd w:val="clear" w:color="auto" w:fill="FFFFFF"/>
        <w:spacing w:beforeLines="0" w:afterLines="0"/>
        <w:ind w:firstLine="640"/>
        <w:jc w:val="left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我院成立于1954年，其前身为岳阳市血吸虫病防治所，1999年改制成立岳阳市三人民医院。2018年3月，市政府决定市三医院整体并入市一医院，成为市一医院南院。宗旨和业务范围：为人民身体健康提供医疗、护理保健服务和血吸虫病、传染性疫病治疗工作，以及对突发公共卫生事件的救治工作。医院占地面积35.7亩，医疗业务用房3.7万平米。</w:t>
      </w:r>
    </w:p>
    <w:p>
      <w:pPr>
        <w:widowControl/>
        <w:spacing w:line="600" w:lineRule="exact"/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  <w:t>二、机构设置及决算单位构成</w:t>
      </w:r>
    </w:p>
    <w:p>
      <w:pPr>
        <w:widowControl/>
        <w:spacing w:line="600" w:lineRule="exact"/>
        <w:ind w:firstLine="960" w:firstLineChars="300"/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（一）内设机构设置。</w:t>
      </w:r>
    </w:p>
    <w:p>
      <w:pPr>
        <w:widowControl/>
        <w:spacing w:line="600" w:lineRule="exact"/>
        <w:ind w:firstLine="960" w:firstLineChars="300"/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</w:pPr>
      <w:r>
        <w:rPr>
          <w:rFonts w:hint="eastAsia" w:ascii="宋体" w:hAnsi="宋体"/>
          <w:bCs/>
          <w:kern w:val="0"/>
          <w:sz w:val="32"/>
          <w:szCs w:val="32"/>
          <w:lang w:val="en-US" w:eastAsia="zh-CN"/>
        </w:rPr>
        <w:t>机构设置融入岳阳市中心医院（原岳阳市一人民医院）。岳阳市中心医院2022年决算公开已注明相关内设机构情况。</w:t>
      </w:r>
    </w:p>
    <w:p>
      <w:pPr>
        <w:widowControl/>
        <w:numPr>
          <w:ilvl w:val="0"/>
          <w:numId w:val="2"/>
        </w:numPr>
        <w:spacing w:line="600" w:lineRule="exact"/>
        <w:ind w:firstLine="960" w:firstLineChars="300"/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决算单位构成。</w:t>
      </w:r>
    </w:p>
    <w:p>
      <w:pPr>
        <w:widowControl/>
        <w:numPr>
          <w:ilvl w:val="0"/>
          <w:numId w:val="0"/>
        </w:numPr>
        <w:spacing w:line="600" w:lineRule="exact"/>
        <w:ind w:firstLine="1080" w:firstLineChars="300"/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</w:pPr>
      <w:r>
        <w:rPr>
          <w:rFonts w:hint="eastAsia" w:ascii="宋体" w:hAnsi="宋体"/>
          <w:i w:val="0"/>
          <w:iCs w:val="0"/>
          <w:color w:val="auto"/>
          <w:sz w:val="36"/>
          <w:szCs w:val="28"/>
          <w:highlight w:val="white"/>
          <w:lang w:eastAsia="zh-CN"/>
        </w:rPr>
        <w:t>本单位无独立核算的下属单位，</w:t>
      </w:r>
      <w:r>
        <w:rPr>
          <w:rFonts w:hint="eastAsia" w:ascii="宋体" w:hAnsi="宋体"/>
          <w:i w:val="0"/>
          <w:iCs w:val="0"/>
          <w:color w:val="auto"/>
          <w:sz w:val="36"/>
          <w:szCs w:val="28"/>
          <w:highlight w:val="white"/>
          <w:lang w:val="en-US" w:eastAsia="zh-CN"/>
        </w:rPr>
        <w:t>2022年度部门决算汇总公开单位仅包括岳阳市中心医院单位本级</w:t>
      </w:r>
      <w:r>
        <w:rPr>
          <w:rFonts w:hint="eastAsia" w:ascii="宋体" w:hAnsi="宋体"/>
          <w:i w:val="0"/>
          <w:iCs w:val="0"/>
          <w:color w:val="auto"/>
          <w:sz w:val="36"/>
          <w:szCs w:val="28"/>
          <w:highlight w:val="white"/>
        </w:rPr>
        <w:t>）</w:t>
      </w:r>
      <w:r>
        <w:rPr>
          <w:rFonts w:hint="eastAsia" w:ascii="宋体" w:hAnsi="宋体"/>
          <w:bCs/>
          <w:color w:val="auto"/>
          <w:kern w:val="0"/>
          <w:sz w:val="32"/>
          <w:szCs w:val="32"/>
          <w:lang w:eastAsia="zh-CN"/>
        </w:rPr>
        <w:t>。</w:t>
      </w:r>
    </w:p>
    <w:p>
      <w:pPr>
        <w:widowControl/>
        <w:spacing w:line="600" w:lineRule="exact"/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</w:pPr>
    </w:p>
    <w:p>
      <w:pPr>
        <w:jc w:val="left"/>
        <w:rPr>
          <w:rFonts w:ascii="仿宋_GB2312" w:hAnsi="宋体" w:eastAsia="仿宋_GB2312"/>
          <w:sz w:val="28"/>
          <w:szCs w:val="32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both"/>
        <w:rPr>
          <w:sz w:val="72"/>
          <w:szCs w:val="72"/>
        </w:rPr>
      </w:pPr>
    </w:p>
    <w:p>
      <w:pPr>
        <w:pStyle w:val="5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5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第二部分</w:t>
      </w:r>
    </w:p>
    <w:p>
      <w:pPr>
        <w:pStyle w:val="5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5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部门决算表</w:t>
      </w:r>
    </w:p>
    <w:p>
      <w:pPr>
        <w:jc w:val="center"/>
        <w:rPr>
          <w:rFonts w:hint="eastAsia" w:eastAsia="宋体"/>
          <w:sz w:val="72"/>
          <w:szCs w:val="72"/>
          <w:lang w:eastAsia="zh-CN"/>
        </w:rPr>
      </w:pPr>
      <w:r>
        <w:rPr>
          <w:rFonts w:hint="eastAsia"/>
          <w:sz w:val="72"/>
          <w:szCs w:val="72"/>
          <w:lang w:eastAsia="zh-CN"/>
        </w:rPr>
        <w:t>（见附件）</w:t>
      </w: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pStyle w:val="5"/>
        <w:jc w:val="both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5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第三部分</w:t>
      </w:r>
    </w:p>
    <w:p>
      <w:pPr>
        <w:pStyle w:val="5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>
      <w:pPr>
        <w:pStyle w:val="5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  <w:r>
        <w:rPr>
          <w:rFonts w:hint="eastAsia" w:ascii="方正小标宋_GBK" w:hAnsi="方正小标宋_GBK" w:eastAsia="方正小标宋_GBK" w:cs="方正小标宋_GBK"/>
          <w:sz w:val="70"/>
          <w:szCs w:val="70"/>
        </w:rPr>
        <w:t>202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val="en-US" w:eastAsia="zh-CN"/>
        </w:rPr>
        <w:t>2</w:t>
      </w:r>
      <w:r>
        <w:rPr>
          <w:rFonts w:hint="eastAsia" w:ascii="方正小标宋_GBK" w:hAnsi="方正小标宋_GBK" w:eastAsia="方正小标宋_GBK" w:cs="方正小标宋_GBK"/>
          <w:sz w:val="70"/>
          <w:szCs w:val="70"/>
        </w:rPr>
        <w:t>年度部门决算情况说明</w:t>
      </w:r>
    </w:p>
    <w:p>
      <w:pPr>
        <w:widowControl/>
        <w:jc w:val="left"/>
        <w:rPr>
          <w:rFonts w:ascii="宋体" w:hAnsi="宋体" w:eastAsia="宋体"/>
          <w:color w:val="FF000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z w:val="70"/>
          <w:szCs w:val="70"/>
        </w:rPr>
        <w:br w:type="page"/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一、收入支出决算总体情况说明</w:t>
      </w:r>
    </w:p>
    <w:p>
      <w:pPr>
        <w:pStyle w:val="5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年度收、支总计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16257.44</w:t>
      </w:r>
      <w:r>
        <w:rPr>
          <w:rFonts w:hint="eastAsia" w:ascii="Times New Roman" w:hAnsi="Times New Roman" w:eastAsia="仿宋_GB2312"/>
          <w:sz w:val="32"/>
          <w:szCs w:val="32"/>
        </w:rPr>
        <w:t>万元。与上年相比，增加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3834.1</w:t>
      </w:r>
      <w:r>
        <w:rPr>
          <w:rFonts w:hint="eastAsia" w:ascii="Times New Roman" w:hAnsi="Times New Roman" w:eastAsia="仿宋_GB2312"/>
          <w:sz w:val="32"/>
          <w:szCs w:val="32"/>
        </w:rPr>
        <w:t>万元，增长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30.86</w:t>
      </w:r>
      <w:r>
        <w:rPr>
          <w:rFonts w:hint="eastAsia" w:ascii="Times New Roman" w:hAnsi="Times New Roman" w:eastAsia="仿宋_GB2312"/>
          <w:sz w:val="32"/>
          <w:szCs w:val="32"/>
        </w:rPr>
        <w:t>%，</w:t>
      </w:r>
      <w:r>
        <w:rPr>
          <w:rFonts w:hint="eastAsia" w:ascii="宋体" w:hAnsi="宋体" w:eastAsia="宋体"/>
          <w:sz w:val="32"/>
          <w:szCs w:val="32"/>
        </w:rPr>
        <w:t>主要是因为</w:t>
      </w:r>
      <w:r>
        <w:rPr>
          <w:rFonts w:hint="eastAsia" w:ascii="宋体" w:hAnsi="宋体" w:eastAsia="宋体"/>
          <w:sz w:val="32"/>
          <w:szCs w:val="32"/>
          <w:lang w:eastAsia="zh-CN"/>
        </w:rPr>
        <w:t>事业收入增加，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本年度收入增加的同时，支出也随之增加。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二、收入决算情况说明</w:t>
      </w:r>
    </w:p>
    <w:p>
      <w:pPr>
        <w:pStyle w:val="5"/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年度收入合计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16203.97</w:t>
      </w:r>
      <w:r>
        <w:rPr>
          <w:rFonts w:hint="eastAsia" w:ascii="Times New Roman" w:hAnsi="Times New Roman" w:eastAsia="仿宋_GB2312"/>
          <w:sz w:val="32"/>
          <w:szCs w:val="32"/>
        </w:rPr>
        <w:t>万元，其中：财政拨款收入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457.12</w:t>
      </w:r>
      <w:r>
        <w:rPr>
          <w:rFonts w:hint="eastAsia" w:ascii="Times New Roman" w:hAnsi="Times New Roman" w:eastAsia="仿宋_GB2312"/>
          <w:sz w:val="32"/>
          <w:szCs w:val="32"/>
        </w:rPr>
        <w:t>万元，占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2.82</w:t>
      </w:r>
      <w:r>
        <w:rPr>
          <w:rFonts w:hint="eastAsia" w:ascii="Times New Roman" w:hAnsi="Times New Roman" w:eastAsia="仿宋_GB2312"/>
          <w:sz w:val="32"/>
          <w:szCs w:val="32"/>
        </w:rPr>
        <w:t>%；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上级补助收入0万元，占0%；</w:t>
      </w:r>
      <w:r>
        <w:rPr>
          <w:rFonts w:hint="eastAsia" w:ascii="Times New Roman" w:hAnsi="Times New Roman" w:eastAsia="仿宋_GB2312"/>
          <w:sz w:val="32"/>
          <w:szCs w:val="32"/>
        </w:rPr>
        <w:t>事业收入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15675.57</w:t>
      </w:r>
      <w:r>
        <w:rPr>
          <w:rFonts w:hint="eastAsia" w:ascii="Times New Roman" w:hAnsi="Times New Roman" w:eastAsia="仿宋_GB2312"/>
          <w:sz w:val="32"/>
          <w:szCs w:val="32"/>
        </w:rPr>
        <w:t>万元，占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96.74</w:t>
      </w:r>
      <w:r>
        <w:rPr>
          <w:rFonts w:hint="eastAsia" w:ascii="Times New Roman" w:hAnsi="Times New Roman" w:eastAsia="仿宋_GB2312"/>
          <w:sz w:val="32"/>
          <w:szCs w:val="32"/>
        </w:rPr>
        <w:t>%；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经营收入0万元，占0%；附属单位上缴收入0万元；占0%；</w:t>
      </w:r>
      <w:r>
        <w:rPr>
          <w:rFonts w:hint="eastAsia" w:ascii="Times New Roman" w:hAnsi="Times New Roman" w:eastAsia="仿宋_GB2312"/>
          <w:sz w:val="32"/>
          <w:szCs w:val="32"/>
        </w:rPr>
        <w:t>其他收入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71.28</w:t>
      </w:r>
      <w:r>
        <w:rPr>
          <w:rFonts w:hint="eastAsia" w:ascii="Times New Roman" w:hAnsi="Times New Roman" w:eastAsia="仿宋_GB2312"/>
          <w:sz w:val="32"/>
          <w:szCs w:val="32"/>
        </w:rPr>
        <w:t>万元，占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0.44</w:t>
      </w:r>
      <w:r>
        <w:rPr>
          <w:rFonts w:hint="eastAsia" w:ascii="Times New Roman" w:hAnsi="Times New Roman" w:eastAsia="仿宋_GB2312"/>
          <w:sz w:val="32"/>
          <w:szCs w:val="32"/>
        </w:rPr>
        <w:t>%。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三、支出决算情况说明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年度支出合计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13813.27</w:t>
      </w:r>
      <w:r>
        <w:rPr>
          <w:rFonts w:hint="eastAsia" w:ascii="Times New Roman" w:hAnsi="Times New Roman" w:eastAsia="仿宋_GB2312"/>
          <w:sz w:val="32"/>
          <w:szCs w:val="32"/>
        </w:rPr>
        <w:t>万元，其中：基本支出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11193.4</w:t>
      </w:r>
      <w:r>
        <w:rPr>
          <w:rFonts w:hint="eastAsia" w:ascii="Times New Roman" w:hAnsi="Times New Roman" w:eastAsia="仿宋_GB2312"/>
          <w:sz w:val="32"/>
          <w:szCs w:val="32"/>
        </w:rPr>
        <w:t>万元，占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81.03</w:t>
      </w:r>
      <w:r>
        <w:rPr>
          <w:rFonts w:hint="eastAsia" w:ascii="Times New Roman" w:hAnsi="Times New Roman" w:eastAsia="仿宋_GB2312"/>
          <w:sz w:val="32"/>
          <w:szCs w:val="32"/>
        </w:rPr>
        <w:t>%；项目支出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2619.87</w:t>
      </w:r>
      <w:r>
        <w:rPr>
          <w:rFonts w:hint="eastAsia" w:ascii="Times New Roman" w:hAnsi="Times New Roman" w:eastAsia="仿宋_GB2312"/>
          <w:sz w:val="32"/>
          <w:szCs w:val="32"/>
        </w:rPr>
        <w:t>万元，占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18.97</w:t>
      </w:r>
      <w:r>
        <w:rPr>
          <w:rFonts w:hint="eastAsia" w:ascii="Times New Roman" w:hAnsi="Times New Roman" w:eastAsia="仿宋_GB2312"/>
          <w:sz w:val="32"/>
          <w:szCs w:val="32"/>
        </w:rPr>
        <w:t>%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上缴上级支出0万元，占0%；经营支出0万元，占0%；对附属单位补助支出0万元，占0%。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四、财政拨款收入支出决算总体情况说明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eastAsia" w:ascii="楷体" w:hAnsi="楷体" w:eastAsia="楷体" w:cs="楷体"/>
          <w:i/>
          <w:iCs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   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年度财政拨款收、支总计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510.59</w:t>
      </w:r>
      <w:r>
        <w:rPr>
          <w:rFonts w:hint="eastAsia" w:ascii="Times New Roman" w:hAnsi="Times New Roman" w:eastAsia="仿宋_GB2312"/>
          <w:sz w:val="32"/>
          <w:szCs w:val="32"/>
        </w:rPr>
        <w:t>万元，与上年相比，减少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2.41</w:t>
      </w:r>
      <w:r>
        <w:rPr>
          <w:rFonts w:hint="eastAsia" w:ascii="Times New Roman" w:hAnsi="Times New Roman" w:eastAsia="仿宋_GB2312"/>
          <w:sz w:val="32"/>
          <w:szCs w:val="32"/>
        </w:rPr>
        <w:t>万元,减少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47%</w:t>
      </w:r>
      <w:r>
        <w:rPr>
          <w:rFonts w:hint="eastAsia" w:ascii="Times New Roman" w:hAnsi="Times New Roman" w:eastAsia="仿宋_GB2312"/>
          <w:sz w:val="32"/>
          <w:szCs w:val="32"/>
        </w:rPr>
        <w:t>，</w:t>
      </w:r>
      <w:r>
        <w:rPr>
          <w:rFonts w:hint="eastAsia" w:ascii="宋体" w:hAnsi="宋体" w:eastAsia="宋体"/>
          <w:sz w:val="32"/>
          <w:szCs w:val="32"/>
        </w:rPr>
        <w:t>主要是因为</w:t>
      </w:r>
      <w:r>
        <w:rPr>
          <w:rFonts w:hint="eastAsia" w:ascii="宋体" w:hAnsi="宋体" w:eastAsia="宋体"/>
          <w:sz w:val="32"/>
          <w:szCs w:val="32"/>
          <w:lang w:eastAsia="zh-CN"/>
        </w:rPr>
        <w:t>卫生健康支出中其他公立医院支出减少。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五、一般公共预算财政拨款支出决算情况说明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/>
          <w:sz w:val="32"/>
          <w:szCs w:val="32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</w:rPr>
        <w:t>（一）财政拨款支出决算总体情况</w:t>
      </w:r>
    </w:p>
    <w:p>
      <w:pPr>
        <w:pStyle w:val="5"/>
        <w:ind w:firstLine="800" w:firstLineChars="250"/>
        <w:rPr>
          <w:rFonts w:hint="eastAsia" w:ascii="宋体" w:hAnsi="宋体" w:eastAsia="宋体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年度财政拨款支出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485.71</w:t>
      </w:r>
      <w:r>
        <w:rPr>
          <w:rFonts w:hint="eastAsia" w:ascii="Times New Roman" w:hAnsi="Times New Roman" w:eastAsia="仿宋_GB2312"/>
          <w:sz w:val="32"/>
          <w:szCs w:val="32"/>
        </w:rPr>
        <w:t>万元，占本年支出合计的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3.52</w:t>
      </w:r>
      <w:r>
        <w:rPr>
          <w:rFonts w:hint="eastAsia" w:ascii="Times New Roman" w:hAnsi="Times New Roman" w:eastAsia="仿宋_GB2312"/>
          <w:sz w:val="32"/>
          <w:szCs w:val="32"/>
        </w:rPr>
        <w:t>%，与上年相比，财政拨款支出增加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26.18</w:t>
      </w:r>
      <w:r>
        <w:rPr>
          <w:rFonts w:hint="eastAsia" w:ascii="Times New Roman" w:hAnsi="Times New Roman" w:eastAsia="仿宋_GB2312"/>
          <w:sz w:val="32"/>
          <w:szCs w:val="32"/>
        </w:rPr>
        <w:t>万元，增长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5.7</w:t>
      </w:r>
      <w:r>
        <w:rPr>
          <w:rFonts w:hint="eastAsia" w:ascii="Times New Roman" w:hAnsi="Times New Roman" w:eastAsia="仿宋_GB2312"/>
          <w:sz w:val="32"/>
          <w:szCs w:val="32"/>
        </w:rPr>
        <w:t>%，</w:t>
      </w:r>
      <w:r>
        <w:rPr>
          <w:rFonts w:hint="eastAsia" w:ascii="宋体" w:hAnsi="宋体" w:eastAsia="宋体"/>
          <w:sz w:val="32"/>
          <w:szCs w:val="32"/>
        </w:rPr>
        <w:t>主要是因为</w:t>
      </w:r>
      <w:r>
        <w:rPr>
          <w:rFonts w:hint="eastAsia" w:ascii="宋体" w:hAnsi="宋体" w:eastAsia="宋体"/>
          <w:sz w:val="32"/>
          <w:szCs w:val="32"/>
          <w:lang w:eastAsia="zh-CN"/>
        </w:rPr>
        <w:t>卫生健康支出中其他公立医院支出增加。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480" w:firstLineChars="150"/>
        <w:textAlignment w:val="auto"/>
        <w:rPr>
          <w:rFonts w:hint="eastAsia" w:ascii="楷体" w:hAnsi="楷体" w:eastAsia="楷体" w:cs="楷体"/>
          <w:b w:val="0"/>
          <w:bCs/>
          <w:sz w:val="32"/>
          <w:szCs w:val="32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</w:rPr>
        <w:t>（二）财政拨款支出决算结构情况</w:t>
      </w:r>
    </w:p>
    <w:p>
      <w:pPr>
        <w:pStyle w:val="5"/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年度财政拨款支出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485.71</w:t>
      </w:r>
      <w:r>
        <w:rPr>
          <w:rFonts w:hint="eastAsia" w:ascii="Times New Roman" w:hAnsi="Times New Roman" w:eastAsia="仿宋_GB2312"/>
          <w:sz w:val="32"/>
          <w:szCs w:val="32"/>
        </w:rPr>
        <w:t>万元，</w:t>
      </w:r>
      <w:r>
        <w:rPr>
          <w:rFonts w:hint="eastAsia" w:ascii="宋体" w:hAnsi="宋体" w:eastAsia="宋体"/>
          <w:sz w:val="32"/>
          <w:szCs w:val="32"/>
        </w:rPr>
        <w:t>主要用于卫生健康支出支出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485.71</w:t>
      </w:r>
      <w:r>
        <w:rPr>
          <w:rFonts w:hint="eastAsia" w:ascii="宋体" w:hAnsi="宋体" w:eastAsia="宋体"/>
          <w:sz w:val="32"/>
          <w:szCs w:val="32"/>
        </w:rPr>
        <w:t>万元，占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100</w:t>
      </w:r>
      <w:r>
        <w:rPr>
          <w:rFonts w:hint="eastAsia" w:ascii="宋体" w:hAnsi="宋体" w:eastAsia="宋体"/>
          <w:sz w:val="32"/>
          <w:szCs w:val="32"/>
        </w:rPr>
        <w:t>%</w:t>
      </w:r>
      <w:r>
        <w:rPr>
          <w:rFonts w:hint="eastAsia" w:ascii="宋体" w:hAnsi="宋体" w:eastAsia="宋体"/>
          <w:sz w:val="32"/>
          <w:szCs w:val="32"/>
          <w:lang w:eastAsia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楷体" w:hAnsi="楷体" w:eastAsia="楷体" w:cs="楷体"/>
          <w:b w:val="0"/>
          <w:bCs/>
          <w:sz w:val="32"/>
          <w:szCs w:val="32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</w:rPr>
        <w:t>（三）财政拨款支出决算具体情况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年度财政拨款支出年初预算数为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490</w:t>
      </w:r>
      <w:r>
        <w:rPr>
          <w:rFonts w:hint="eastAsia" w:ascii="Times New Roman" w:hAnsi="Times New Roman" w:eastAsia="仿宋_GB2312"/>
          <w:sz w:val="32"/>
          <w:szCs w:val="32"/>
        </w:rPr>
        <w:t>万元，支出决算数为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485.71</w:t>
      </w:r>
      <w:r>
        <w:rPr>
          <w:rFonts w:hint="eastAsia" w:ascii="Times New Roman" w:hAnsi="Times New Roman" w:eastAsia="仿宋_GB2312"/>
          <w:sz w:val="32"/>
          <w:szCs w:val="32"/>
        </w:rPr>
        <w:t>万元，完成年初预算的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99.12</w:t>
      </w:r>
      <w:r>
        <w:rPr>
          <w:rFonts w:hint="eastAsia" w:ascii="Times New Roman" w:hAnsi="Times New Roman" w:eastAsia="仿宋_GB2312"/>
          <w:sz w:val="32"/>
          <w:szCs w:val="32"/>
        </w:rPr>
        <w:t>%，其中：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1、</w:t>
      </w:r>
      <w:r>
        <w:rPr>
          <w:rFonts w:hint="eastAsia" w:ascii="宋体" w:hAnsi="宋体" w:eastAsia="宋体"/>
          <w:sz w:val="32"/>
          <w:szCs w:val="32"/>
        </w:rPr>
        <w:t>卫生健康支出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（类）</w:t>
      </w:r>
      <w:r>
        <w:rPr>
          <w:rFonts w:hint="eastAsia" w:ascii="宋体" w:hAnsi="宋体" w:eastAsia="宋体"/>
          <w:sz w:val="32"/>
          <w:szCs w:val="32"/>
        </w:rPr>
        <w:t>公立医院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（款）</w:t>
      </w:r>
      <w:r>
        <w:rPr>
          <w:rFonts w:hint="eastAsia" w:ascii="宋体" w:hAnsi="宋体" w:eastAsia="宋体"/>
          <w:sz w:val="32"/>
          <w:szCs w:val="32"/>
        </w:rPr>
        <w:t>综合医院（项）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年初预算为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490</w:t>
      </w:r>
      <w:r>
        <w:rPr>
          <w:rFonts w:hint="eastAsia" w:ascii="Times New Roman" w:hAnsi="Times New Roman" w:eastAsia="仿宋_GB2312"/>
          <w:sz w:val="32"/>
          <w:szCs w:val="32"/>
        </w:rPr>
        <w:t>万元，支出决算为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460.06</w:t>
      </w:r>
      <w:r>
        <w:rPr>
          <w:rFonts w:hint="eastAsia" w:ascii="Times New Roman" w:hAnsi="Times New Roman" w:eastAsia="仿宋_GB2312"/>
          <w:sz w:val="32"/>
          <w:szCs w:val="32"/>
        </w:rPr>
        <w:t>万元，完成年初预算的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93.89</w:t>
      </w:r>
      <w:r>
        <w:rPr>
          <w:rFonts w:hint="eastAsia" w:ascii="Times New Roman" w:hAnsi="Times New Roman" w:eastAsia="仿宋_GB2312"/>
          <w:sz w:val="32"/>
          <w:szCs w:val="32"/>
        </w:rPr>
        <w:t>%，</w:t>
      </w:r>
      <w:r>
        <w:rPr>
          <w:rFonts w:hint="eastAsia" w:ascii="宋体" w:hAnsi="宋体" w:eastAsia="宋体"/>
          <w:sz w:val="32"/>
          <w:szCs w:val="32"/>
        </w:rPr>
        <w:t>决算数小于年初预算数的主要原因是</w:t>
      </w:r>
      <w:r>
        <w:rPr>
          <w:rFonts w:hint="eastAsia" w:ascii="宋体" w:hAnsi="宋体" w:eastAsia="宋体"/>
          <w:sz w:val="32"/>
          <w:szCs w:val="32"/>
          <w:lang w:eastAsia="zh-CN"/>
        </w:rPr>
        <w:t>艾滋病防治支出减少。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2、</w:t>
      </w:r>
      <w:r>
        <w:rPr>
          <w:rFonts w:hint="eastAsia" w:ascii="宋体" w:hAnsi="宋体" w:eastAsia="宋体"/>
          <w:sz w:val="32"/>
          <w:szCs w:val="32"/>
        </w:rPr>
        <w:t>卫生健康支出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（类）公共</w:t>
      </w:r>
      <w:r>
        <w:rPr>
          <w:rFonts w:hint="eastAsia" w:ascii="宋体" w:hAnsi="宋体" w:eastAsia="宋体"/>
          <w:sz w:val="32"/>
          <w:szCs w:val="32"/>
        </w:rPr>
        <w:t>卫生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（款）重大公共卫生服务</w:t>
      </w:r>
      <w:r>
        <w:rPr>
          <w:rFonts w:hint="eastAsia" w:ascii="宋体" w:hAnsi="宋体" w:eastAsia="宋体"/>
          <w:sz w:val="32"/>
          <w:szCs w:val="32"/>
        </w:rPr>
        <w:t>（项）</w:t>
      </w:r>
      <w:r>
        <w:rPr>
          <w:rFonts w:hint="eastAsia" w:ascii="宋体" w:hAnsi="宋体" w:eastAsia="宋体"/>
          <w:sz w:val="32"/>
          <w:szCs w:val="32"/>
          <w:lang w:eastAsia="zh-CN"/>
        </w:rPr>
        <w:t>。</w:t>
      </w:r>
    </w:p>
    <w:p>
      <w:pPr>
        <w:pStyle w:val="5"/>
        <w:ind w:firstLine="640" w:firstLineChars="200"/>
        <w:rPr>
          <w:rFonts w:hint="eastAsia" w:ascii="宋体" w:hAnsi="宋体" w:eastAsia="宋体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</w:rPr>
        <w:t>年初预算为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万元，支出决算为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25.65</w:t>
      </w:r>
      <w:r>
        <w:rPr>
          <w:rFonts w:hint="eastAsia" w:ascii="Times New Roman" w:hAnsi="Times New Roman" w:eastAsia="仿宋_GB2312"/>
          <w:sz w:val="32"/>
          <w:szCs w:val="32"/>
        </w:rPr>
        <w:t>万元，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决算数大于年初预算数的主要原因是省补助血吸虫病综合治理。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六、一般公共预算财政拨款基本支出决算情况说明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年度财政拨款基本支出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432</w:t>
      </w:r>
      <w:r>
        <w:rPr>
          <w:rFonts w:hint="eastAsia" w:ascii="Times New Roman" w:hAnsi="Times New Roman" w:eastAsia="仿宋_GB2312"/>
          <w:sz w:val="32"/>
          <w:szCs w:val="32"/>
        </w:rPr>
        <w:t>万元，其中：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b/>
          <w:bCs/>
          <w:sz w:val="32"/>
          <w:szCs w:val="32"/>
        </w:rPr>
        <w:t>人员经费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432</w:t>
      </w:r>
      <w:r>
        <w:rPr>
          <w:rFonts w:hint="eastAsia" w:ascii="Times New Roman" w:hAnsi="Times New Roman" w:eastAsia="仿宋_GB2312"/>
          <w:sz w:val="32"/>
          <w:szCs w:val="32"/>
        </w:rPr>
        <w:t>万元，占基本支出的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100</w:t>
      </w:r>
      <w:r>
        <w:rPr>
          <w:rFonts w:hint="eastAsia" w:ascii="Times New Roman" w:hAnsi="Times New Roman" w:eastAsia="仿宋_GB2312"/>
          <w:sz w:val="32"/>
          <w:szCs w:val="32"/>
        </w:rPr>
        <w:t>%,</w:t>
      </w:r>
      <w:r>
        <w:rPr>
          <w:rFonts w:hint="eastAsia" w:ascii="宋体" w:hAnsi="宋体" w:eastAsia="宋体"/>
          <w:sz w:val="32"/>
          <w:szCs w:val="32"/>
        </w:rPr>
        <w:t>主要包括主要包括基本工资、津贴补贴、</w:t>
      </w:r>
      <w:r>
        <w:rPr>
          <w:rFonts w:hint="eastAsia" w:ascii="宋体" w:hAnsi="宋体" w:eastAsia="宋体"/>
          <w:sz w:val="32"/>
          <w:szCs w:val="32"/>
          <w:lang w:val="zh-CN"/>
        </w:rPr>
        <w:t>奖金、伙食补助费、绩效工资、机关事业单位基本养老保险缴费、职业年金缴费、职工基本医疗保险缴费、公务员医疗补助缴费、其他社会保障缴费、住房公积金、医疗费、其他工资福利支出、离休费、退休费、抚恤金、生活补助、医疗费补助、奖励金、其他对个人和家庭的补助</w:t>
      </w:r>
      <w:r>
        <w:rPr>
          <w:rFonts w:hint="eastAsia" w:ascii="宋体" w:hAnsi="宋体" w:eastAsia="宋体"/>
          <w:sz w:val="32"/>
          <w:szCs w:val="32"/>
        </w:rPr>
        <w:t>；</w:t>
      </w:r>
      <w:r>
        <w:rPr>
          <w:rFonts w:hint="eastAsia" w:ascii="Times New Roman" w:hAnsi="Times New Roman" w:eastAsia="仿宋_GB2312"/>
          <w:b/>
          <w:bCs/>
          <w:sz w:val="32"/>
          <w:szCs w:val="32"/>
        </w:rPr>
        <w:t>公用经费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eastAsia="zh-CN"/>
        </w:rPr>
        <w:t>七、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政府性基金预算收入支出决算情况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b w:val="0"/>
          <w:bCs w:val="0"/>
          <w:i w:val="0"/>
          <w:iCs/>
          <w:color w:val="auto"/>
          <w:kern w:val="0"/>
          <w:sz w:val="32"/>
          <w:szCs w:val="32"/>
          <w:lang w:val="en-US" w:eastAsia="zh-CN" w:bidi="ar-SA"/>
        </w:rPr>
        <w:t>单位无政府性基金收支。2022年度政府性基金预算财政拨款收入0万元；年初结转和结余0万元；支出0万元，其中基本支出0万元，项目支出0万元；年末结转和结余0万元。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八、</w:t>
      </w:r>
      <w:r>
        <w:rPr>
          <w:rFonts w:hint="eastAsia" w:ascii="Times New Roman" w:hAnsi="Times New Roman" w:eastAsia="仿宋_GB2312"/>
          <w:b/>
          <w:sz w:val="32"/>
          <w:szCs w:val="32"/>
        </w:rPr>
        <w:t>国有资本经营预算财政拨款支出决算</w:t>
      </w:r>
      <w:r>
        <w:rPr>
          <w:rFonts w:hint="eastAsia" w:ascii="Times New Roman" w:hAnsi="Times New Roman" w:eastAsia="仿宋_GB2312"/>
          <w:b/>
          <w:sz w:val="32"/>
          <w:szCs w:val="32"/>
          <w:lang w:eastAsia="zh-CN"/>
        </w:rPr>
        <w:t>情况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i/>
          <w:i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本单位无国有资本经营预算财政拨款支出。</w:t>
      </w:r>
      <w:r>
        <w:rPr>
          <w:rFonts w:hint="eastAsia" w:ascii="仿宋" w:hAnsi="仿宋" w:eastAsia="仿宋" w:cs="仿宋"/>
          <w:i w:val="0"/>
          <w:iCs/>
          <w:color w:val="auto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i w:val="0"/>
          <w:iCs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i w:val="0"/>
          <w:iCs/>
          <w:color w:val="auto"/>
          <w:sz w:val="32"/>
          <w:szCs w:val="32"/>
          <w:lang w:eastAsia="zh-CN"/>
        </w:rPr>
        <w:t>年度国有资本经营预算财政拨款收入</w:t>
      </w:r>
      <w:r>
        <w:rPr>
          <w:rFonts w:hint="eastAsia" w:ascii="仿宋" w:hAnsi="仿宋" w:eastAsia="仿宋" w:cs="仿宋"/>
          <w:i w:val="0"/>
          <w:iCs/>
          <w:color w:val="auto"/>
          <w:sz w:val="32"/>
          <w:szCs w:val="32"/>
          <w:lang w:val="en-US" w:eastAsia="zh-CN"/>
        </w:rPr>
        <w:t>0万元；年初结转和结余0万；</w:t>
      </w:r>
      <w:r>
        <w:rPr>
          <w:rFonts w:hint="eastAsia" w:ascii="仿宋" w:hAnsi="仿宋" w:eastAsia="仿宋" w:cs="仿宋"/>
          <w:i w:val="0"/>
          <w:iCs/>
          <w:color w:val="auto"/>
          <w:sz w:val="32"/>
          <w:szCs w:val="32"/>
          <w:lang w:eastAsia="zh-CN"/>
        </w:rPr>
        <w:t>支出</w:t>
      </w:r>
      <w:r>
        <w:rPr>
          <w:rFonts w:hint="eastAsia" w:ascii="仿宋" w:hAnsi="仿宋" w:eastAsia="仿宋" w:cs="仿宋"/>
          <w:i w:val="0"/>
          <w:iCs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i w:val="0"/>
          <w:iCs/>
          <w:color w:val="auto"/>
          <w:sz w:val="32"/>
          <w:szCs w:val="32"/>
          <w:lang w:eastAsia="zh-CN"/>
        </w:rPr>
        <w:t>万元，其中：基本支出</w:t>
      </w:r>
      <w:r>
        <w:rPr>
          <w:rFonts w:hint="eastAsia" w:ascii="仿宋" w:hAnsi="仿宋" w:eastAsia="仿宋" w:cs="仿宋"/>
          <w:i w:val="0"/>
          <w:iCs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i w:val="0"/>
          <w:iCs/>
          <w:color w:val="auto"/>
          <w:sz w:val="32"/>
          <w:szCs w:val="32"/>
          <w:lang w:eastAsia="zh-CN"/>
        </w:rPr>
        <w:t>万元，项目支出</w:t>
      </w:r>
      <w:r>
        <w:rPr>
          <w:rFonts w:hint="eastAsia" w:ascii="仿宋" w:hAnsi="仿宋" w:eastAsia="仿宋" w:cs="仿宋"/>
          <w:i w:val="0"/>
          <w:iCs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i w:val="0"/>
          <w:iCs/>
          <w:color w:val="auto"/>
          <w:sz w:val="32"/>
          <w:szCs w:val="32"/>
          <w:lang w:eastAsia="zh-CN"/>
        </w:rPr>
        <w:t>万元；年末结转和结余</w:t>
      </w:r>
      <w:r>
        <w:rPr>
          <w:rFonts w:hint="eastAsia" w:ascii="仿宋" w:hAnsi="仿宋" w:eastAsia="仿宋" w:cs="仿宋"/>
          <w:i w:val="0"/>
          <w:iCs/>
          <w:color w:val="auto"/>
          <w:sz w:val="32"/>
          <w:szCs w:val="32"/>
          <w:lang w:val="en-US" w:eastAsia="zh-CN"/>
        </w:rPr>
        <w:t>0万元。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b/>
          <w:sz w:val="32"/>
          <w:szCs w:val="32"/>
        </w:rPr>
        <w:t>九、</w:t>
      </w: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  <w:t>财政拨款三公经费支出决算情况说明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</w:rPr>
        <w:t>（一）“三公”经费财政拨款支出决算总体情况说明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2022年度</w:t>
      </w:r>
      <w:r>
        <w:rPr>
          <w:rFonts w:hint="eastAsia" w:ascii="Times New Roman" w:hAnsi="Times New Roman" w:eastAsia="仿宋_GB2312"/>
          <w:sz w:val="32"/>
          <w:szCs w:val="32"/>
        </w:rPr>
        <w:t>“三公”经费财政拨款支出预算为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万元，支出决算为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决算数等于预算数。</w:t>
      </w:r>
      <w:r>
        <w:rPr>
          <w:rFonts w:hint="eastAsia" w:ascii="Times New Roman" w:hAnsi="Times New Roman" w:eastAsia="仿宋_GB2312"/>
          <w:sz w:val="32"/>
          <w:szCs w:val="32"/>
        </w:rPr>
        <w:t>其中：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因公出国（境）费支出预算为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万元，支出决算为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由于预算为0，无法计算百分比</w:t>
      </w:r>
      <w:r>
        <w:rPr>
          <w:rFonts w:hint="eastAsia" w:ascii="Times New Roman" w:hAnsi="Times New Roman" w:eastAsia="仿宋_GB2312"/>
          <w:sz w:val="32"/>
          <w:szCs w:val="32"/>
        </w:rPr>
        <w:t>，与上年相比增加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万元，增长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%。公务接待费支出预算为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万元，支出决算为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由于预算为0，无法计算百分比</w:t>
      </w:r>
      <w:r>
        <w:rPr>
          <w:rFonts w:hint="eastAsia" w:ascii="Times New Roman" w:hAnsi="Times New Roman" w:eastAsia="仿宋_GB2312"/>
          <w:sz w:val="32"/>
          <w:szCs w:val="32"/>
        </w:rPr>
        <w:t>，与上年相比减增加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万元，增长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%。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公务用车购置费支出预算为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万元，支出决算为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由于预算为0，无法计算百分比，</w:t>
      </w:r>
      <w:r>
        <w:rPr>
          <w:rFonts w:hint="eastAsia" w:ascii="Times New Roman" w:hAnsi="Times New Roman" w:eastAsia="仿宋_GB2312"/>
          <w:sz w:val="32"/>
          <w:szCs w:val="32"/>
        </w:rPr>
        <w:t>与上年相比增加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万元，增长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%。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公务用车运行维护费支出预算为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万元，支出决算为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由于预算为0，无法计算百分比</w:t>
      </w:r>
      <w:r>
        <w:rPr>
          <w:rFonts w:hint="eastAsia" w:ascii="Times New Roman" w:hAnsi="Times New Roman" w:eastAsia="仿宋_GB2312"/>
          <w:sz w:val="32"/>
          <w:szCs w:val="32"/>
        </w:rPr>
        <w:t>，与上年相比增加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万元，增长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%。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</w:rPr>
        <w:t>（二）“三公”经费财政拨款支出决算具体情况说明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年度“三公”经费财政拨款支出决算中，公务接待费支出决算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万元，因公出国（境）费支出决算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万元，公务用车购置费及运行维护费支出决算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万元，其中：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楷体" w:hAnsi="楷体" w:eastAsia="楷体" w:cs="楷体"/>
          <w:b/>
          <w:bCs/>
          <w:i/>
          <w:color w:val="auto"/>
          <w:sz w:val="32"/>
          <w:szCs w:val="32"/>
          <w:lang w:val="en-US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1、</w:t>
      </w:r>
      <w:r>
        <w:rPr>
          <w:rFonts w:hint="eastAsia" w:ascii="Times New Roman" w:hAnsi="Times New Roman" w:eastAsia="仿宋_GB2312"/>
          <w:sz w:val="32"/>
          <w:szCs w:val="32"/>
        </w:rPr>
        <w:t>因公出国（境）费支出决算为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万元，全年安排因公出国（境）团组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个，累计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人次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我单位2022年度无因公出国（境）费支出。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2、公务接待费支出决算为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万元，全年共接待来访团组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个、来宾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人次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,我单位2022年度无公务接待费支出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3、公务用车购置费及运行维护费支出决算为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万元，其中：公务用车购置费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当年没有购置公务用车。</w:t>
      </w:r>
      <w:r>
        <w:rPr>
          <w:rFonts w:hint="eastAsia" w:ascii="Times New Roman" w:hAnsi="Times New Roman" w:eastAsia="仿宋_GB2312"/>
          <w:sz w:val="32"/>
          <w:szCs w:val="32"/>
        </w:rPr>
        <w:t>公务用车运行维护费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万元，截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至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年12月31日，我单位开支财政拨款的公务用车保有量为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辆。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十、</w:t>
      </w:r>
      <w:r>
        <w:rPr>
          <w:rFonts w:hint="eastAsia" w:ascii="黑体" w:hAnsi="黑体" w:eastAsia="黑体" w:cs="黑体"/>
          <w:b/>
          <w:sz w:val="32"/>
          <w:szCs w:val="32"/>
        </w:rPr>
        <w:t>关于机关运行经费支出说明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i w:val="0"/>
          <w:iCs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/>
          <w:color w:val="auto"/>
          <w:sz w:val="32"/>
          <w:szCs w:val="32"/>
          <w:lang w:val="en-US" w:eastAsia="zh-CN"/>
        </w:rPr>
        <w:t>本级和所属单位均为事业单位，按照机关运行经费的口径，本年度机关运行经费为0。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十</w:t>
      </w:r>
      <w:r>
        <w:rPr>
          <w:rFonts w:hint="eastAsia" w:hAnsi="黑体" w:cs="黑体"/>
          <w:b w:val="0"/>
          <w:bCs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、一般性支出情况说明</w:t>
      </w:r>
    </w:p>
    <w:p>
      <w:pPr>
        <w:pStyle w:val="5"/>
        <w:ind w:firstLine="640" w:firstLineChars="200"/>
        <w:rPr>
          <w:rFonts w:hint="eastAsia" w:ascii="楷体" w:hAnsi="楷体" w:eastAsia="楷体" w:cs="楷体"/>
          <w:b/>
          <w:bCs/>
          <w:i/>
          <w:color w:val="FF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2022年度，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sz w:val="32"/>
          <w:szCs w:val="32"/>
          <w:lang w:val="en-US" w:eastAsia="zh-CN"/>
        </w:rPr>
        <w:t>本单位无会议费的预算和支出决算数；本单位无培训费的预算和支出决算数；本单位无举办节庆、晚会、论坛、赛事等活动的预算和支出决算数。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十</w:t>
      </w:r>
      <w:r>
        <w:rPr>
          <w:rFonts w:hint="eastAsia" w:hAnsi="黑体" w:cs="黑体"/>
          <w:b w:val="0"/>
          <w:bCs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、关于政府采购支出说明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本部门202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年度政府采购支出总额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万元，其中：政府采购货物支出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 xml:space="preserve"> 万元、政府采购工程支出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万元、政府采购服务支出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万元。授予中小企业合同金额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万元，占政府采购支出总额的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%，其中：授予小微企业合同金额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万元，占授予中小企业合同金额的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%。货物采购授予中小企业合同金额占货物支出金额的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%，工程采购授予中小企业合同金额占工程支出金额的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%，服务采购授予中小企业合同金额占服务支出金额的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%。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十</w:t>
      </w:r>
      <w:r>
        <w:rPr>
          <w:rFonts w:hint="eastAsia" w:hAnsi="黑体" w:cs="黑体"/>
          <w:b w:val="0"/>
          <w:bCs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、关于国有资产占用情况说明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截至202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年12月31日，本单位共有车辆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辆，其中，主要领导干部用车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辆，机要通信用车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辆、应急保障用车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辆、执法执勤用车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辆、特种专业技术用车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辆、其他用车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辆；单位价值50万元以上通用设备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/>
          <w:sz w:val="32"/>
          <w:szCs w:val="32"/>
        </w:rPr>
        <w:t>台（套）；单位价值100万元以上专用设备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16</w:t>
      </w:r>
      <w:r>
        <w:rPr>
          <w:rFonts w:hint="eastAsia" w:ascii="Times New Roman" w:hAnsi="Times New Roman" w:eastAsia="仿宋_GB2312"/>
          <w:sz w:val="32"/>
          <w:szCs w:val="32"/>
        </w:rPr>
        <w:t>台（套）。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十</w:t>
      </w:r>
      <w:r>
        <w:rPr>
          <w:rFonts w:hint="eastAsia" w:hAnsi="黑体" w:cs="黑体"/>
          <w:b w:val="0"/>
          <w:bCs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年度预算绩效情况的说明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（一）绩效管理评价工作开展情况。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根据预算绩效管理要求，我们组织对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2022年度整体支出和项目资金实施了全覆盖性的绩效评价，撰写了绩效自评报告。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组织开展整体支出绩效评价，涉及一般公共预算支出</w:t>
      </w:r>
      <w:r>
        <w:rPr>
          <w:rFonts w:hint="eastAsia" w:ascii="宋体" w:hAnsi="宋体" w:cs="黑体"/>
          <w:color w:val="000000"/>
          <w:kern w:val="0"/>
          <w:sz w:val="32"/>
          <w:szCs w:val="32"/>
          <w:lang w:val="en-US" w:eastAsia="zh-CN"/>
        </w:rPr>
        <w:t>485.71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万元，政府性基金预算支出0万元，国有资本经营预算支出0万元。从评价情况来看，整体支出绩效评价中，2022年整体支出13813.27万元，其中：基本支出11193.4万元，项目支出2619.87万元，本单位整体支出绩效自评综合评分100分，评价结果等次为优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组织对一般公共预算项目支出全面开展绩效自评，项目0个，共涉及资金0万元，占一般公共预算项目支出总额的0%。组织对政府性基金预算项目支出开展绩效自评，项目0个，共涉及资金0万元，占政府性基金预算项目支出总额的0%。组织对国有资本经营预算项目支出开展绩效自评，项目0个，共涉及资金0万元，占国有资本经营预算项目支出总额的0%。从评价情况来看，项目绩效自评得分0分，评价结果等次为0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600" w:lineRule="exact"/>
        <w:ind w:leftChars="200" w:firstLine="320" w:firstLineChars="1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部门决算中绩效自评结果情况。 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根据年初设定的绩效目标，绩效自评得分为100分。全年预算数为490 万元，执行数为485.71万元，完成预算的99.12%。绩效目标完成情况：一是基本支出；二是项目支出。发现的主要问题及原因：一是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预算编制不够完善,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二是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绩效管理工作有待加强等问题。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下一步改进措施：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在今后的工作中,我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院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将严格按照《预算法》的要求，加强预算编制的科学性、合理性,让预算编制更贴合实际，使项目预算与工作结合更加紧密。严格按照批复预算执行，加强预算绩效管理，增强预算约束力，做好预算绩效目标及各项绩效指标的细化、量化工作,用好用活各类财政资金，提高财政资金的使用效益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leftChars="200" w:firstLine="320" w:firstLineChars="1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（三）部门评价项目绩效评价结果。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预算绩效管理开展情况、绩效目标和绩效评价报告等，已在市政府部门财政预决算公开平台上向社会公开。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详见附件。</w:t>
      </w:r>
    </w:p>
    <w:p>
      <w:pPr>
        <w:pStyle w:val="5"/>
        <w:jc w:val="both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5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5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第四部分</w:t>
      </w:r>
    </w:p>
    <w:p>
      <w:pPr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70"/>
          <w:szCs w:val="70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70"/>
          <w:szCs w:val="70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70"/>
          <w:szCs w:val="70"/>
        </w:rPr>
        <w:t>名词解释</w:t>
      </w:r>
    </w:p>
    <w:p>
      <w:pPr>
        <w:widowControl/>
        <w:jc w:val="left"/>
        <w:rPr>
          <w:rFonts w:ascii="宋体" w:hAnsi="宋体" w:cs="黑体"/>
          <w:color w:val="000000"/>
          <w:kern w:val="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70"/>
          <w:szCs w:val="70"/>
        </w:rPr>
        <w:br w:type="page"/>
      </w:r>
    </w:p>
    <w:p>
      <w:pPr>
        <w:ind w:firstLine="640" w:firstLineChars="200"/>
        <w:jc w:val="left"/>
        <w:rPr>
          <w:rFonts w:hint="eastAsia" w:ascii="宋体" w:hAnsi="宋体" w:cs="黑体"/>
          <w:color w:val="000000"/>
          <w:kern w:val="0"/>
          <w:sz w:val="32"/>
          <w:szCs w:val="32"/>
        </w:rPr>
      </w:pPr>
      <w:r>
        <w:rPr>
          <w:rFonts w:hint="eastAsia" w:ascii="宋体" w:hAnsi="宋体" w:cs="黑体"/>
          <w:color w:val="000000"/>
          <w:kern w:val="0"/>
          <w:sz w:val="32"/>
          <w:szCs w:val="32"/>
        </w:rPr>
        <w:t>一、“三公”经费：指用财政拨款安排的因公出国（境）费、公务用车购置及运行费和公务接待费。其中，因公出国（境）费反映出国（境）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（含外宾接待）支出。</w:t>
      </w:r>
    </w:p>
    <w:p>
      <w:pPr>
        <w:ind w:firstLine="640" w:firstLineChars="200"/>
        <w:jc w:val="left"/>
        <w:rPr>
          <w:rFonts w:ascii="宋体" w:hAnsi="宋体" w:cs="黑体"/>
          <w:color w:val="000000"/>
          <w:kern w:val="0"/>
          <w:sz w:val="32"/>
          <w:szCs w:val="32"/>
        </w:rPr>
      </w:pPr>
      <w:r>
        <w:rPr>
          <w:rFonts w:hint="eastAsia" w:ascii="宋体" w:hAnsi="宋体" w:cs="黑体"/>
          <w:color w:val="000000"/>
          <w:kern w:val="0"/>
          <w:sz w:val="32"/>
          <w:szCs w:val="32"/>
        </w:rPr>
        <w:t>二、机关运行经费</w:t>
      </w:r>
      <w:r>
        <w:rPr>
          <w:rFonts w:hint="eastAsia" w:ascii="宋体" w:hAnsi="宋体" w:cs="黑体"/>
          <w:color w:val="000000"/>
          <w:kern w:val="0"/>
          <w:sz w:val="32"/>
          <w:szCs w:val="32"/>
          <w:lang w:eastAsia="zh-CN"/>
        </w:rPr>
        <w:t>，指为保障行政单位（包括参照公务员法管理的事业单位）运行用于购买货物和服务的各项资金</w:t>
      </w:r>
      <w:r>
        <w:rPr>
          <w:rFonts w:hint="eastAsia" w:ascii="宋体" w:hAnsi="宋体" w:cs="黑体"/>
          <w:color w:val="000000"/>
          <w:kern w:val="0"/>
          <w:sz w:val="32"/>
          <w:szCs w:val="32"/>
        </w:rPr>
        <w:t>，包括办公</w:t>
      </w:r>
      <w:r>
        <w:rPr>
          <w:rFonts w:hint="eastAsia" w:ascii="宋体" w:hAnsi="宋体" w:cs="黑体"/>
          <w:color w:val="000000"/>
          <w:kern w:val="0"/>
          <w:sz w:val="32"/>
          <w:szCs w:val="32"/>
          <w:lang w:eastAsia="zh-CN"/>
        </w:rPr>
        <w:t>费、</w:t>
      </w:r>
      <w:r>
        <w:rPr>
          <w:rFonts w:hint="eastAsia" w:ascii="宋体" w:hAnsi="宋体" w:cs="黑体"/>
          <w:color w:val="000000"/>
          <w:kern w:val="0"/>
          <w:sz w:val="32"/>
          <w:szCs w:val="32"/>
        </w:rPr>
        <w:t>印刷费、邮电费、差旅费、会议费、日常维修费、专用材料及一般设备购置费、办公用房水电费、办公用房取暖费、办公用房物业管理费、公务用车运行维护费以及其他费用。</w:t>
      </w:r>
    </w:p>
    <w:p>
      <w:pPr>
        <w:pStyle w:val="5"/>
        <w:jc w:val="center"/>
        <w:rPr>
          <w:rFonts w:hint="eastAsia"/>
          <w:sz w:val="72"/>
          <w:szCs w:val="72"/>
        </w:rPr>
      </w:pPr>
    </w:p>
    <w:p>
      <w:pPr>
        <w:pStyle w:val="5"/>
        <w:jc w:val="center"/>
        <w:rPr>
          <w:rFonts w:hint="eastAsia"/>
          <w:sz w:val="72"/>
          <w:szCs w:val="72"/>
        </w:rPr>
      </w:pPr>
    </w:p>
    <w:p>
      <w:pPr>
        <w:pStyle w:val="5"/>
        <w:jc w:val="center"/>
        <w:rPr>
          <w:rFonts w:hint="eastAsia"/>
          <w:sz w:val="72"/>
          <w:szCs w:val="72"/>
        </w:rPr>
      </w:pPr>
    </w:p>
    <w:p>
      <w:pPr>
        <w:pStyle w:val="5"/>
        <w:jc w:val="center"/>
        <w:rPr>
          <w:rFonts w:hint="eastAsia"/>
          <w:sz w:val="72"/>
          <w:szCs w:val="72"/>
        </w:rPr>
      </w:pPr>
    </w:p>
    <w:p>
      <w:pPr>
        <w:pStyle w:val="5"/>
        <w:jc w:val="center"/>
        <w:rPr>
          <w:rFonts w:hint="eastAsia"/>
          <w:sz w:val="72"/>
          <w:szCs w:val="72"/>
        </w:rPr>
      </w:pPr>
    </w:p>
    <w:p>
      <w:pPr>
        <w:pStyle w:val="5"/>
        <w:jc w:val="center"/>
        <w:rPr>
          <w:rFonts w:hint="eastAsia"/>
          <w:sz w:val="72"/>
          <w:szCs w:val="72"/>
        </w:rPr>
      </w:pPr>
    </w:p>
    <w:p>
      <w:pPr>
        <w:pStyle w:val="5"/>
        <w:jc w:val="center"/>
        <w:rPr>
          <w:rFonts w:hint="eastAsia"/>
          <w:sz w:val="72"/>
          <w:szCs w:val="72"/>
        </w:rPr>
      </w:pPr>
    </w:p>
    <w:p>
      <w:pPr>
        <w:pStyle w:val="5"/>
        <w:jc w:val="center"/>
        <w:rPr>
          <w:rFonts w:hint="eastAsia"/>
          <w:sz w:val="72"/>
          <w:szCs w:val="72"/>
        </w:rPr>
      </w:pPr>
    </w:p>
    <w:p>
      <w:pPr>
        <w:pStyle w:val="5"/>
        <w:jc w:val="center"/>
        <w:rPr>
          <w:rFonts w:hint="eastAsia"/>
          <w:sz w:val="72"/>
          <w:szCs w:val="72"/>
        </w:rPr>
      </w:pPr>
    </w:p>
    <w:p>
      <w:pPr>
        <w:pStyle w:val="5"/>
        <w:jc w:val="center"/>
        <w:rPr>
          <w:rFonts w:hint="eastAsia"/>
          <w:sz w:val="72"/>
          <w:szCs w:val="72"/>
        </w:rPr>
      </w:pPr>
    </w:p>
    <w:p>
      <w:pPr>
        <w:pStyle w:val="5"/>
        <w:jc w:val="center"/>
        <w:rPr>
          <w:rFonts w:hint="eastAsia"/>
          <w:sz w:val="72"/>
          <w:szCs w:val="72"/>
        </w:rPr>
      </w:pPr>
    </w:p>
    <w:p>
      <w:pPr>
        <w:pStyle w:val="5"/>
        <w:jc w:val="center"/>
        <w:rPr>
          <w:sz w:val="72"/>
          <w:szCs w:val="72"/>
        </w:rPr>
      </w:pPr>
      <w:r>
        <w:rPr>
          <w:rFonts w:hint="eastAsia"/>
          <w:sz w:val="72"/>
          <w:szCs w:val="72"/>
        </w:rPr>
        <w:t>第五部分</w:t>
      </w:r>
    </w:p>
    <w:p>
      <w:pPr>
        <w:jc w:val="center"/>
        <w:rPr>
          <w:rFonts w:ascii="黑体" w:eastAsia="黑体" w:cs="黑体"/>
          <w:color w:val="000000"/>
          <w:kern w:val="0"/>
          <w:sz w:val="70"/>
          <w:szCs w:val="70"/>
        </w:rPr>
      </w:pPr>
    </w:p>
    <w:p>
      <w:pPr>
        <w:pStyle w:val="5"/>
        <w:jc w:val="center"/>
        <w:rPr>
          <w:sz w:val="72"/>
          <w:szCs w:val="72"/>
        </w:rPr>
      </w:pPr>
      <w:r>
        <w:rPr>
          <w:rFonts w:hint="eastAsia" w:ascii="黑体" w:eastAsia="黑体" w:cs="黑体"/>
          <w:color w:val="000000"/>
          <w:kern w:val="0"/>
          <w:sz w:val="70"/>
          <w:szCs w:val="70"/>
        </w:rPr>
        <w:t>附件</w:t>
      </w:r>
    </w:p>
    <w:p>
      <w:pPr>
        <w:ind w:firstLine="640" w:firstLineChars="200"/>
        <w:jc w:val="left"/>
        <w:rPr>
          <w:rFonts w:hint="eastAsia" w:ascii="宋体" w:hAnsi="宋体" w:cs="黑体"/>
          <w:b/>
          <w:color w:val="000000"/>
          <w:kern w:val="0"/>
          <w:sz w:val="32"/>
          <w:szCs w:val="32"/>
          <w:lang w:val="en-US" w:eastAsia="zh-CN"/>
        </w:rPr>
      </w:pPr>
    </w:p>
    <w:p>
      <w:pPr>
        <w:ind w:firstLine="640" w:firstLineChars="200"/>
        <w:jc w:val="left"/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cs="黑体"/>
          <w:b/>
          <w:color w:val="000000"/>
          <w:kern w:val="0"/>
          <w:sz w:val="32"/>
          <w:szCs w:val="32"/>
          <w:lang w:val="en-US" w:eastAsia="zh-CN"/>
        </w:rPr>
        <w:t>1、2022年部门决算公开表格</w:t>
      </w:r>
    </w:p>
    <w:p>
      <w:pPr>
        <w:ind w:firstLine="640" w:firstLineChars="200"/>
        <w:jc w:val="left"/>
        <w:rPr>
          <w:rFonts w:ascii="宋体" w:hAnsi="宋体" w:cs="黑体"/>
          <w:color w:val="000000"/>
          <w:kern w:val="0"/>
          <w:sz w:val="32"/>
          <w:szCs w:val="32"/>
        </w:rPr>
      </w:pPr>
      <w:r>
        <w:rPr>
          <w:rFonts w:hint="eastAsia" w:ascii="宋体" w:hAnsi="宋体" w:cs="黑体"/>
          <w:b/>
          <w:color w:val="000000"/>
          <w:kern w:val="0"/>
          <w:sz w:val="32"/>
          <w:szCs w:val="32"/>
          <w:lang w:val="en-US" w:eastAsia="zh-CN"/>
        </w:rPr>
        <w:t>2、</w:t>
      </w:r>
      <w:r>
        <w:rPr>
          <w:rFonts w:hint="eastAsia" w:ascii="宋体" w:hAnsi="宋体" w:cs="黑体"/>
          <w:b/>
          <w:color w:val="000000"/>
          <w:kern w:val="0"/>
          <w:sz w:val="32"/>
          <w:szCs w:val="32"/>
        </w:rPr>
        <w:t>202</w:t>
      </w:r>
      <w:r>
        <w:rPr>
          <w:rFonts w:hint="eastAsia" w:ascii="宋体" w:hAnsi="宋体" w:cs="黑体"/>
          <w:b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宋体" w:hAnsi="宋体" w:cs="黑体"/>
          <w:b/>
          <w:color w:val="000000"/>
          <w:kern w:val="0"/>
          <w:sz w:val="32"/>
          <w:szCs w:val="32"/>
        </w:rPr>
        <w:t>年度部门整体支出绩效评价报告</w:t>
      </w:r>
    </w:p>
    <w:p>
      <w:pPr>
        <w:widowControl/>
        <w:spacing w:line="600" w:lineRule="exact"/>
        <w:ind w:firstLine="960" w:firstLineChars="300"/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</w:pPr>
      <w:r>
        <w:rPr>
          <w:rFonts w:hint="eastAsia" w:ascii="宋体" w:hAnsi="宋体"/>
          <w:bCs/>
          <w:kern w:val="0"/>
          <w:sz w:val="32"/>
          <w:szCs w:val="32"/>
          <w:lang w:val="en-US" w:eastAsia="zh-CN"/>
        </w:rPr>
        <w:t>岳阳市公共卫生医治中心融入岳阳市中心医院（原岳阳市一人民医院）。岳阳市中心医院已完成2022年度</w:t>
      </w:r>
      <w:bookmarkStart w:id="0" w:name="_GoBack"/>
      <w:bookmarkEnd w:id="0"/>
      <w:r>
        <w:rPr>
          <w:rFonts w:hint="eastAsia" w:ascii="宋体" w:hAnsi="宋体"/>
          <w:bCs/>
          <w:kern w:val="0"/>
          <w:sz w:val="32"/>
          <w:szCs w:val="32"/>
          <w:lang w:val="en-US" w:eastAsia="zh-CN"/>
        </w:rPr>
        <w:t>部门整体支出绩效评价报告</w:t>
      </w:r>
    </w:p>
    <w:p/>
    <w:sectPr>
      <w:pgSz w:w="11906" w:h="16838"/>
      <w:pgMar w:top="720" w:right="720" w:bottom="720" w:left="720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黑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7275A69"/>
    <w:multiLevelType w:val="singleLevel"/>
    <w:tmpl w:val="97275A6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8994DDF"/>
    <w:multiLevelType w:val="singleLevel"/>
    <w:tmpl w:val="08994DD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373518C1"/>
    <w:multiLevelType w:val="multilevel"/>
    <w:tmpl w:val="373518C1"/>
    <w:lvl w:ilvl="0" w:tentative="0">
      <w:start w:val="1"/>
      <w:numFmt w:val="none"/>
      <w:lvlText w:val="一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hMTFkYmQ1MjFhZjg5YWMxNGViOTJmYmFiNTg0ZmMifQ=="/>
  </w:docVars>
  <w:rsids>
    <w:rsidRoot w:val="349B2115"/>
    <w:rsid w:val="20EC5E9A"/>
    <w:rsid w:val="24A0313E"/>
    <w:rsid w:val="2525221E"/>
    <w:rsid w:val="349B2115"/>
    <w:rsid w:val="3F8435AB"/>
    <w:rsid w:val="53493859"/>
    <w:rsid w:val="56097CC5"/>
    <w:rsid w:val="58E46AFD"/>
    <w:rsid w:val="65D451EC"/>
  </w:rsids>
  <m:mathPr>
    <m:lMargin m:val="0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kern w:val="0"/>
      <w:sz w:val="24"/>
      <w:szCs w:val="24"/>
      <w:lang w:val="en-US" w:eastAsia="zh-CN" w:bidi="ar-SA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2023-10-26T01:16:00Z</dcterms:created>
  <dc:creator>Administrator</dc:creator>
  <cp:lastModifiedBy>Administrator</cp:lastModifiedBy>
  <dcterms:modified xsi:type="dcterms:W3CDTF">2024-08-30T01:36:12Z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2052-10.8.0.5838</vt:lpwstr>
  </property>
  <property fmtid="{D5CDD505-2E9C-101B-9397-08002B2CF9AE}" pid="3" name="ICV">
    <vt:lpwstr>776F332ADD6E4CE897D5B385C9301513_11</vt:lpwstr>
  </property>
</Properties>
</file>