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color w:val="auto"/>
          <w:sz w:val="56"/>
          <w:szCs w:val="56"/>
          <w:highlight w:val="none"/>
        </w:rPr>
      </w:pPr>
    </w:p>
    <w:p>
      <w:pPr>
        <w:pStyle w:val="14"/>
        <w:jc w:val="center"/>
        <w:rPr>
          <w:color w:val="auto"/>
          <w:sz w:val="56"/>
          <w:szCs w:val="56"/>
          <w:highlight w:val="none"/>
        </w:rPr>
      </w:pPr>
    </w:p>
    <w:p>
      <w:pPr>
        <w:pStyle w:val="14"/>
        <w:jc w:val="center"/>
        <w:rPr>
          <w:color w:val="auto"/>
          <w:sz w:val="84"/>
          <w:szCs w:val="84"/>
          <w:highlight w:val="none"/>
        </w:rPr>
      </w:pPr>
    </w:p>
    <w:p>
      <w:pPr>
        <w:pStyle w:val="14"/>
        <w:jc w:val="center"/>
        <w:rPr>
          <w:color w:val="auto"/>
          <w:sz w:val="84"/>
          <w:szCs w:val="84"/>
          <w:highlight w:val="none"/>
        </w:rPr>
      </w:pPr>
    </w:p>
    <w:p>
      <w:pPr>
        <w:pStyle w:val="14"/>
        <w:jc w:val="center"/>
        <w:rPr>
          <w:color w:val="auto"/>
          <w:sz w:val="72"/>
          <w:szCs w:val="72"/>
          <w:highlight w:val="none"/>
        </w:rPr>
      </w:pPr>
      <w:r>
        <w:rPr>
          <w:rFonts w:hint="eastAsia"/>
          <w:color w:val="auto"/>
          <w:sz w:val="72"/>
          <w:szCs w:val="72"/>
          <w:highlight w:val="none"/>
        </w:rPr>
        <w:t>20</w:t>
      </w:r>
      <w:r>
        <w:rPr>
          <w:rFonts w:hint="eastAsia"/>
          <w:color w:val="auto"/>
          <w:sz w:val="72"/>
          <w:szCs w:val="72"/>
          <w:highlight w:val="none"/>
          <w:lang w:val="en-US" w:eastAsia="zh-CN"/>
        </w:rPr>
        <w:t>21</w:t>
      </w:r>
      <w:r>
        <w:rPr>
          <w:rFonts w:hint="eastAsia"/>
          <w:color w:val="auto"/>
          <w:sz w:val="72"/>
          <w:szCs w:val="72"/>
          <w:highlight w:val="none"/>
        </w:rPr>
        <w:t>年度</w:t>
      </w:r>
    </w:p>
    <w:p>
      <w:pPr>
        <w:pStyle w:val="14"/>
        <w:jc w:val="center"/>
        <w:rPr>
          <w:color w:val="auto"/>
          <w:sz w:val="72"/>
          <w:szCs w:val="72"/>
          <w:highlight w:val="none"/>
        </w:rPr>
      </w:pPr>
      <w:r>
        <w:rPr>
          <w:rFonts w:hint="eastAsia"/>
          <w:color w:val="auto"/>
          <w:sz w:val="72"/>
          <w:szCs w:val="72"/>
          <w:highlight w:val="none"/>
          <w:lang w:eastAsia="zh-CN"/>
        </w:rPr>
        <w:t>岳阳市卫生健康委员会</w:t>
      </w:r>
      <w:r>
        <w:rPr>
          <w:rFonts w:hint="eastAsia"/>
          <w:color w:val="auto"/>
          <w:sz w:val="72"/>
          <w:szCs w:val="72"/>
          <w:highlight w:val="none"/>
          <w:lang w:val="en-US" w:eastAsia="zh-CN"/>
        </w:rPr>
        <w:t xml:space="preserve">  </w:t>
      </w:r>
      <w:r>
        <w:rPr>
          <w:rFonts w:hint="eastAsia"/>
          <w:color w:val="auto"/>
          <w:sz w:val="72"/>
          <w:szCs w:val="72"/>
          <w:highlight w:val="none"/>
        </w:rPr>
        <w:t>部门决算</w:t>
      </w:r>
    </w:p>
    <w:p>
      <w:pPr>
        <w:pStyle w:val="14"/>
        <w:jc w:val="center"/>
        <w:rPr>
          <w:color w:val="auto"/>
          <w:sz w:val="56"/>
          <w:szCs w:val="56"/>
          <w:highlight w:val="none"/>
        </w:rPr>
      </w:pPr>
    </w:p>
    <w:p>
      <w:pPr>
        <w:pStyle w:val="14"/>
        <w:jc w:val="center"/>
        <w:rPr>
          <w:color w:val="auto"/>
          <w:sz w:val="56"/>
          <w:szCs w:val="56"/>
          <w:highlight w:val="none"/>
        </w:rPr>
      </w:pPr>
    </w:p>
    <w:p>
      <w:pPr>
        <w:pStyle w:val="14"/>
        <w:jc w:val="center"/>
        <w:rPr>
          <w:color w:val="auto"/>
          <w:sz w:val="56"/>
          <w:szCs w:val="56"/>
          <w:highlight w:val="none"/>
        </w:rPr>
      </w:pPr>
    </w:p>
    <w:p>
      <w:pPr>
        <w:pStyle w:val="14"/>
        <w:jc w:val="center"/>
        <w:rPr>
          <w:color w:val="auto"/>
          <w:sz w:val="56"/>
          <w:szCs w:val="56"/>
          <w:highlight w:val="none"/>
        </w:rPr>
      </w:pPr>
    </w:p>
    <w:p>
      <w:pPr>
        <w:pStyle w:val="14"/>
        <w:jc w:val="center"/>
        <w:rPr>
          <w:color w:val="auto"/>
          <w:sz w:val="56"/>
          <w:szCs w:val="56"/>
          <w:highlight w:val="none"/>
        </w:rPr>
      </w:pPr>
    </w:p>
    <w:p>
      <w:pPr>
        <w:pStyle w:val="14"/>
        <w:jc w:val="center"/>
        <w:rPr>
          <w:color w:val="auto"/>
          <w:sz w:val="56"/>
          <w:szCs w:val="56"/>
          <w:highlight w:val="none"/>
        </w:rPr>
      </w:pPr>
    </w:p>
    <w:p>
      <w:pPr>
        <w:pStyle w:val="14"/>
        <w:spacing w:line="540" w:lineRule="exact"/>
        <w:jc w:val="both"/>
        <w:rPr>
          <w:color w:val="auto"/>
          <w:sz w:val="56"/>
          <w:szCs w:val="56"/>
          <w:highlight w:val="none"/>
        </w:rPr>
      </w:pPr>
    </w:p>
    <w:p>
      <w:pPr>
        <w:pStyle w:val="14"/>
        <w:spacing w:line="540" w:lineRule="exact"/>
        <w:jc w:val="both"/>
        <w:rPr>
          <w:color w:val="auto"/>
          <w:sz w:val="56"/>
          <w:szCs w:val="56"/>
          <w:highlight w:val="none"/>
        </w:rPr>
      </w:pPr>
    </w:p>
    <w:p>
      <w:pPr>
        <w:pStyle w:val="14"/>
        <w:spacing w:line="520" w:lineRule="exact"/>
        <w:jc w:val="center"/>
        <w:rPr>
          <w:color w:val="auto"/>
          <w:sz w:val="44"/>
          <w:szCs w:val="44"/>
          <w:highlight w:val="none"/>
        </w:rPr>
      </w:pPr>
      <w:r>
        <w:rPr>
          <w:rFonts w:hint="eastAsia"/>
          <w:color w:val="auto"/>
          <w:sz w:val="44"/>
          <w:szCs w:val="44"/>
          <w:highlight w:val="none"/>
        </w:rPr>
        <w:t>目录</w:t>
      </w:r>
    </w:p>
    <w:p>
      <w:pPr>
        <w:pStyle w:val="14"/>
        <w:spacing w:line="520" w:lineRule="exact"/>
        <w:rPr>
          <w:rFonts w:ascii="仿宋_GB2312" w:hAnsi="仿宋_GB2312" w:cs="仿宋_GB2312"/>
          <w:b/>
          <w:color w:val="auto"/>
          <w:sz w:val="28"/>
          <w:szCs w:val="28"/>
          <w:highlight w:val="none"/>
        </w:rPr>
      </w:pPr>
      <w:r>
        <w:rPr>
          <w:rFonts w:hint="eastAsia"/>
          <w:b/>
          <w:color w:val="auto"/>
          <w:sz w:val="28"/>
          <w:szCs w:val="28"/>
          <w:highlight w:val="none"/>
        </w:rPr>
        <w:t>第一部分</w:t>
      </w:r>
      <w:r>
        <w:rPr>
          <w:rFonts w:hint="eastAsia"/>
          <w:b/>
          <w:color w:val="auto"/>
          <w:sz w:val="28"/>
          <w:szCs w:val="28"/>
          <w:highlight w:val="none"/>
          <w:lang w:val="en-US" w:eastAsia="zh-CN"/>
        </w:rPr>
        <w:t xml:space="preserve"> 岳阳市卫生健康委员会</w:t>
      </w:r>
      <w:r>
        <w:rPr>
          <w:rFonts w:hint="eastAsia"/>
          <w:b/>
          <w:color w:val="auto"/>
          <w:sz w:val="28"/>
          <w:szCs w:val="28"/>
          <w:highlight w:val="none"/>
        </w:rPr>
        <w:t>概况</w:t>
      </w:r>
    </w:p>
    <w:p>
      <w:pPr>
        <w:pStyle w:val="14"/>
        <w:spacing w:line="52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一、部门职责</w:t>
      </w:r>
    </w:p>
    <w:p>
      <w:pPr>
        <w:pStyle w:val="14"/>
        <w:spacing w:line="520" w:lineRule="exact"/>
        <w:ind w:firstLine="700" w:firstLineChars="250"/>
        <w:rPr>
          <w:rFonts w:hint="eastAsia" w:cs="仿宋_GB2312" w:asciiTheme="minorEastAsia" w:hAnsiTheme="minorEastAsia" w:eastAsiaTheme="minorEastAsia"/>
          <w:color w:val="auto"/>
          <w:sz w:val="28"/>
          <w:szCs w:val="28"/>
          <w:highlight w:val="none"/>
          <w:lang w:eastAsia="zh-CN"/>
        </w:rPr>
      </w:pPr>
      <w:r>
        <w:rPr>
          <w:rFonts w:cs="仿宋_GB2312" w:asciiTheme="minorEastAsia" w:hAnsiTheme="minorEastAsia" w:eastAsiaTheme="minorEastAsia"/>
          <w:color w:val="auto"/>
          <w:sz w:val="28"/>
          <w:szCs w:val="28"/>
          <w:highlight w:val="none"/>
        </w:rPr>
        <w:t>二、机构设置</w:t>
      </w:r>
      <w:r>
        <w:rPr>
          <w:rFonts w:hint="eastAsia" w:cs="仿宋_GB2312" w:asciiTheme="minorEastAsia" w:hAnsiTheme="minorEastAsia" w:eastAsiaTheme="minorEastAsia"/>
          <w:color w:val="auto"/>
          <w:sz w:val="28"/>
          <w:szCs w:val="28"/>
          <w:highlight w:val="none"/>
          <w:lang w:eastAsia="zh-CN"/>
        </w:rPr>
        <w:t>及决算单位构成</w:t>
      </w:r>
    </w:p>
    <w:p>
      <w:pPr>
        <w:pStyle w:val="14"/>
        <w:spacing w:line="520" w:lineRule="exact"/>
        <w:rPr>
          <w:rFonts w:ascii="仿宋_GB2312" w:hAnsi="仿宋_GB2312" w:cs="仿宋_GB2312"/>
          <w:b/>
          <w:color w:val="auto"/>
          <w:sz w:val="28"/>
          <w:szCs w:val="28"/>
          <w:highlight w:val="none"/>
        </w:rPr>
      </w:pPr>
      <w:r>
        <w:rPr>
          <w:rFonts w:hint="eastAsia" w:hAnsi="仿宋_GB2312"/>
          <w:b/>
          <w:color w:val="auto"/>
          <w:sz w:val="28"/>
          <w:szCs w:val="28"/>
          <w:highlight w:val="none"/>
        </w:rPr>
        <w:t>第二部分</w:t>
      </w:r>
      <w:r>
        <w:rPr>
          <w:rFonts w:hint="eastAsia" w:hAnsi="仿宋_GB2312"/>
          <w:b/>
          <w:color w:val="auto"/>
          <w:sz w:val="28"/>
          <w:szCs w:val="28"/>
          <w:highlight w:val="none"/>
          <w:lang w:val="en-US" w:eastAsia="zh-CN"/>
        </w:rPr>
        <w:t xml:space="preserve"> </w:t>
      </w:r>
      <w:r>
        <w:rPr>
          <w:rFonts w:hAnsi="仿宋_GB2312"/>
          <w:b/>
          <w:color w:val="auto"/>
          <w:sz w:val="28"/>
          <w:szCs w:val="28"/>
          <w:highlight w:val="none"/>
        </w:rPr>
        <w:t>20</w:t>
      </w:r>
      <w:r>
        <w:rPr>
          <w:rFonts w:hint="eastAsia" w:hAnsi="仿宋_GB2312"/>
          <w:b/>
          <w:color w:val="auto"/>
          <w:sz w:val="28"/>
          <w:szCs w:val="28"/>
          <w:highlight w:val="none"/>
          <w:lang w:val="en-US" w:eastAsia="zh-CN"/>
        </w:rPr>
        <w:t>21</w:t>
      </w:r>
      <w:r>
        <w:rPr>
          <w:rFonts w:hint="eastAsia" w:hAnsi="仿宋_GB2312"/>
          <w:b/>
          <w:color w:val="auto"/>
          <w:sz w:val="28"/>
          <w:szCs w:val="28"/>
          <w:highlight w:val="none"/>
        </w:rPr>
        <w:t>年度部门决算表</w:t>
      </w:r>
    </w:p>
    <w:p>
      <w:pPr>
        <w:pStyle w:val="14"/>
        <w:spacing w:line="52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一、收入支出决算总表</w:t>
      </w:r>
    </w:p>
    <w:p>
      <w:pPr>
        <w:pStyle w:val="14"/>
        <w:spacing w:line="52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二、收入决算表</w:t>
      </w:r>
    </w:p>
    <w:p>
      <w:pPr>
        <w:pStyle w:val="14"/>
        <w:spacing w:line="52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三、支出决算表</w:t>
      </w:r>
    </w:p>
    <w:p>
      <w:pPr>
        <w:pStyle w:val="14"/>
        <w:spacing w:line="52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四、财政拨款收入支出决算总表</w:t>
      </w:r>
    </w:p>
    <w:p>
      <w:pPr>
        <w:pStyle w:val="14"/>
        <w:spacing w:line="52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五、一般公共预算财政拨款支出决算表</w:t>
      </w:r>
    </w:p>
    <w:p>
      <w:pPr>
        <w:pStyle w:val="14"/>
        <w:spacing w:line="52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六、一般公共预算财政拨款基本支出决算</w:t>
      </w:r>
      <w:r>
        <w:rPr>
          <w:rFonts w:hint="eastAsia" w:cs="仿宋_GB2312" w:asciiTheme="minorEastAsia" w:hAnsiTheme="minorEastAsia" w:eastAsiaTheme="minorEastAsia"/>
          <w:color w:val="auto"/>
          <w:sz w:val="28"/>
          <w:szCs w:val="28"/>
          <w:highlight w:val="none"/>
          <w:lang w:eastAsia="zh-CN"/>
        </w:rPr>
        <w:t>明细</w:t>
      </w:r>
      <w:r>
        <w:rPr>
          <w:rFonts w:cs="仿宋_GB2312" w:asciiTheme="minorEastAsia" w:hAnsiTheme="minorEastAsia" w:eastAsiaTheme="minorEastAsia"/>
          <w:color w:val="auto"/>
          <w:sz w:val="28"/>
          <w:szCs w:val="28"/>
          <w:highlight w:val="none"/>
        </w:rPr>
        <w:t>表</w:t>
      </w:r>
    </w:p>
    <w:p>
      <w:pPr>
        <w:pStyle w:val="14"/>
        <w:spacing w:line="52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七、一般公共预算财政拨款“三公”经费支出决算表</w:t>
      </w:r>
    </w:p>
    <w:p>
      <w:pPr>
        <w:pStyle w:val="14"/>
        <w:spacing w:line="52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八、政府性基金预算财政拨款收入支出决算表</w:t>
      </w:r>
    </w:p>
    <w:p>
      <w:pPr>
        <w:pStyle w:val="14"/>
        <w:spacing w:line="500" w:lineRule="exact"/>
        <w:ind w:firstLine="700" w:firstLineChars="250"/>
        <w:rPr>
          <w:rFonts w:cs="仿宋_GB2312" w:asciiTheme="minorEastAsia" w:hAnsiTheme="minorEastAsia" w:eastAsiaTheme="minorEastAsia"/>
          <w:color w:val="auto"/>
          <w:sz w:val="28"/>
          <w:szCs w:val="28"/>
          <w:highlight w:val="none"/>
        </w:rPr>
      </w:pPr>
      <w:r>
        <w:rPr>
          <w:rFonts w:hint="eastAsia" w:cs="仿宋_GB2312" w:asciiTheme="minorEastAsia" w:hAnsiTheme="minorEastAsia" w:eastAsiaTheme="minorEastAsia"/>
          <w:color w:val="auto"/>
          <w:sz w:val="28"/>
          <w:szCs w:val="28"/>
          <w:highlight w:val="none"/>
        </w:rPr>
        <w:t>九、国有资本经营预算财政拨款支出决算表</w:t>
      </w:r>
    </w:p>
    <w:p>
      <w:pPr>
        <w:pStyle w:val="14"/>
        <w:spacing w:line="520" w:lineRule="exact"/>
        <w:rPr>
          <w:rFonts w:ascii="仿宋_GB2312" w:hAnsi="仿宋_GB2312" w:cs="仿宋_GB2312"/>
          <w:b/>
          <w:color w:val="auto"/>
          <w:sz w:val="28"/>
          <w:szCs w:val="28"/>
          <w:highlight w:val="none"/>
        </w:rPr>
      </w:pPr>
      <w:r>
        <w:rPr>
          <w:rFonts w:hint="eastAsia" w:hAnsi="仿宋_GB2312"/>
          <w:b/>
          <w:color w:val="auto"/>
          <w:sz w:val="28"/>
          <w:szCs w:val="28"/>
          <w:highlight w:val="none"/>
        </w:rPr>
        <w:t>第三部分</w:t>
      </w:r>
      <w:r>
        <w:rPr>
          <w:rFonts w:hint="eastAsia" w:hAnsi="仿宋_GB2312"/>
          <w:b/>
          <w:color w:val="auto"/>
          <w:sz w:val="28"/>
          <w:szCs w:val="28"/>
          <w:highlight w:val="none"/>
          <w:lang w:val="en-US" w:eastAsia="zh-CN"/>
        </w:rPr>
        <w:t xml:space="preserve"> </w:t>
      </w:r>
      <w:r>
        <w:rPr>
          <w:rFonts w:hAnsi="仿宋_GB2312"/>
          <w:b/>
          <w:color w:val="auto"/>
          <w:sz w:val="28"/>
          <w:szCs w:val="28"/>
          <w:highlight w:val="none"/>
        </w:rPr>
        <w:t>20</w:t>
      </w:r>
      <w:r>
        <w:rPr>
          <w:rFonts w:hint="eastAsia" w:hAnsi="仿宋_GB2312"/>
          <w:b/>
          <w:color w:val="auto"/>
          <w:sz w:val="28"/>
          <w:szCs w:val="28"/>
          <w:highlight w:val="none"/>
          <w:lang w:val="en-US" w:eastAsia="zh-CN"/>
        </w:rPr>
        <w:t>21</w:t>
      </w:r>
      <w:r>
        <w:rPr>
          <w:rFonts w:hint="eastAsia" w:hAnsi="仿宋_GB2312"/>
          <w:b/>
          <w:color w:val="auto"/>
          <w:sz w:val="28"/>
          <w:szCs w:val="28"/>
          <w:highlight w:val="none"/>
        </w:rPr>
        <w:t>年度部门决算情况说明</w:t>
      </w:r>
    </w:p>
    <w:p>
      <w:pPr>
        <w:pStyle w:val="14"/>
        <w:spacing w:line="52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一、收入支出决算总体情况说明</w:t>
      </w:r>
    </w:p>
    <w:p>
      <w:pPr>
        <w:spacing w:line="520" w:lineRule="exact"/>
        <w:ind w:firstLine="700" w:firstLineChars="250"/>
        <w:jc w:val="left"/>
        <w:rPr>
          <w:rFonts w:ascii="仿宋_GB2312" w:hAnsi="仿宋_GB2312" w:cs="仿宋_GB2312"/>
          <w:color w:val="auto"/>
          <w:sz w:val="28"/>
          <w:szCs w:val="28"/>
          <w:highlight w:val="none"/>
        </w:rPr>
      </w:pPr>
      <w:r>
        <w:rPr>
          <w:rFonts w:ascii="仿宋_GB2312" w:hAnsi="仿宋_GB2312" w:cs="仿宋_GB2312"/>
          <w:color w:val="auto"/>
          <w:sz w:val="28"/>
          <w:szCs w:val="28"/>
          <w:highlight w:val="none"/>
        </w:rPr>
        <w:t>二、收入决算情况说明</w:t>
      </w:r>
    </w:p>
    <w:p>
      <w:pPr>
        <w:autoSpaceDE w:val="0"/>
        <w:autoSpaceDN w:val="0"/>
        <w:adjustRightInd w:val="0"/>
        <w:spacing w:line="520" w:lineRule="exact"/>
        <w:ind w:firstLine="700" w:firstLineChars="250"/>
        <w:jc w:val="left"/>
        <w:rPr>
          <w:rFonts w:ascii="仿宋_GB2312" w:hAnsi="仿宋_GB2312" w:cs="仿宋_GB2312"/>
          <w:color w:val="auto"/>
          <w:kern w:val="0"/>
          <w:sz w:val="28"/>
          <w:szCs w:val="28"/>
          <w:highlight w:val="none"/>
        </w:rPr>
      </w:pPr>
      <w:r>
        <w:rPr>
          <w:rFonts w:ascii="仿宋_GB2312" w:hAnsi="仿宋_GB2312" w:cs="仿宋_GB2312"/>
          <w:color w:val="auto"/>
          <w:kern w:val="0"/>
          <w:sz w:val="28"/>
          <w:szCs w:val="28"/>
          <w:highlight w:val="none"/>
        </w:rPr>
        <w:t>三、支出决算情况说明</w:t>
      </w:r>
    </w:p>
    <w:p>
      <w:pPr>
        <w:autoSpaceDE w:val="0"/>
        <w:autoSpaceDN w:val="0"/>
        <w:adjustRightInd w:val="0"/>
        <w:spacing w:line="520" w:lineRule="exact"/>
        <w:ind w:firstLine="700" w:firstLineChars="250"/>
        <w:jc w:val="left"/>
        <w:rPr>
          <w:rFonts w:ascii="仿宋_GB2312" w:hAnsi="仿宋_GB2312" w:cs="仿宋_GB2312"/>
          <w:color w:val="auto"/>
          <w:kern w:val="0"/>
          <w:sz w:val="28"/>
          <w:szCs w:val="28"/>
          <w:highlight w:val="none"/>
        </w:rPr>
      </w:pPr>
      <w:r>
        <w:rPr>
          <w:rFonts w:ascii="仿宋_GB2312" w:hAnsi="仿宋_GB2312" w:cs="仿宋_GB2312"/>
          <w:color w:val="auto"/>
          <w:kern w:val="0"/>
          <w:sz w:val="28"/>
          <w:szCs w:val="28"/>
          <w:highlight w:val="none"/>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auto"/>
          <w:kern w:val="0"/>
          <w:sz w:val="28"/>
          <w:szCs w:val="28"/>
          <w:highlight w:val="none"/>
        </w:rPr>
      </w:pPr>
      <w:r>
        <w:rPr>
          <w:rFonts w:ascii="仿宋_GB2312" w:hAnsi="仿宋_GB2312" w:cs="仿宋_GB2312"/>
          <w:color w:val="auto"/>
          <w:kern w:val="0"/>
          <w:sz w:val="28"/>
          <w:szCs w:val="28"/>
          <w:highlight w:val="none"/>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auto"/>
          <w:kern w:val="0"/>
          <w:sz w:val="28"/>
          <w:szCs w:val="28"/>
          <w:highlight w:val="none"/>
        </w:rPr>
      </w:pPr>
      <w:r>
        <w:rPr>
          <w:rFonts w:ascii="仿宋_GB2312" w:hAnsi="仿宋_GB2312" w:cs="仿宋_GB2312"/>
          <w:color w:val="auto"/>
          <w:kern w:val="0"/>
          <w:sz w:val="28"/>
          <w:szCs w:val="28"/>
          <w:highlight w:val="none"/>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auto"/>
          <w:kern w:val="0"/>
          <w:sz w:val="28"/>
          <w:szCs w:val="28"/>
          <w:highlight w:val="none"/>
        </w:rPr>
      </w:pPr>
      <w:r>
        <w:rPr>
          <w:rFonts w:ascii="仿宋_GB2312" w:hAnsi="仿宋_GB2312" w:cs="仿宋_GB2312"/>
          <w:color w:val="auto"/>
          <w:kern w:val="0"/>
          <w:sz w:val="28"/>
          <w:szCs w:val="28"/>
          <w:highlight w:val="none"/>
        </w:rPr>
        <w:t>七、一般公共预算财政拨款</w:t>
      </w:r>
      <w:r>
        <w:rPr>
          <w:rFonts w:hint="eastAsia" w:ascii="仿宋_GB2312" w:hAnsi="仿宋_GB2312" w:cs="仿宋_GB2312"/>
          <w:color w:val="auto"/>
          <w:kern w:val="0"/>
          <w:sz w:val="28"/>
          <w:szCs w:val="28"/>
          <w:highlight w:val="none"/>
          <w:lang w:eastAsia="zh-CN"/>
        </w:rPr>
        <w:t>“</w:t>
      </w:r>
      <w:r>
        <w:rPr>
          <w:rFonts w:ascii="仿宋_GB2312" w:hAnsi="仿宋_GB2312" w:cs="仿宋_GB2312"/>
          <w:color w:val="auto"/>
          <w:kern w:val="0"/>
          <w:sz w:val="28"/>
          <w:szCs w:val="28"/>
          <w:highlight w:val="none"/>
        </w:rPr>
        <w:t>三公</w:t>
      </w:r>
      <w:r>
        <w:rPr>
          <w:rFonts w:hint="eastAsia" w:ascii="仿宋_GB2312" w:hAnsi="仿宋_GB2312" w:cs="仿宋_GB2312"/>
          <w:color w:val="auto"/>
          <w:kern w:val="0"/>
          <w:sz w:val="28"/>
          <w:szCs w:val="28"/>
          <w:highlight w:val="none"/>
          <w:lang w:eastAsia="zh-CN"/>
        </w:rPr>
        <w:t>”</w:t>
      </w:r>
      <w:r>
        <w:rPr>
          <w:rFonts w:ascii="仿宋_GB2312" w:hAnsi="仿宋_GB2312" w:cs="仿宋_GB2312"/>
          <w:color w:val="auto"/>
          <w:kern w:val="0"/>
          <w:sz w:val="28"/>
          <w:szCs w:val="28"/>
          <w:highlight w:val="none"/>
        </w:rPr>
        <w:t>经费支出决算情况说明</w:t>
      </w:r>
    </w:p>
    <w:p>
      <w:pPr>
        <w:autoSpaceDE w:val="0"/>
        <w:autoSpaceDN w:val="0"/>
        <w:adjustRightInd w:val="0"/>
        <w:spacing w:line="520" w:lineRule="exact"/>
        <w:ind w:firstLine="700" w:firstLineChars="250"/>
        <w:jc w:val="left"/>
        <w:rPr>
          <w:rFonts w:hint="eastAsia" w:ascii="仿宋_GB2312" w:hAnsi="仿宋_GB2312" w:cs="仿宋_GB2312"/>
          <w:color w:val="auto"/>
          <w:kern w:val="0"/>
          <w:sz w:val="28"/>
          <w:szCs w:val="28"/>
          <w:highlight w:val="none"/>
        </w:rPr>
      </w:pPr>
      <w:r>
        <w:rPr>
          <w:rFonts w:hint="eastAsia" w:ascii="仿宋_GB2312" w:hAnsi="仿宋_GB2312" w:cs="仿宋_GB2312"/>
          <w:color w:val="auto"/>
          <w:kern w:val="0"/>
          <w:sz w:val="28"/>
          <w:szCs w:val="28"/>
          <w:highlight w:val="none"/>
        </w:rPr>
        <w:t>八</w:t>
      </w:r>
      <w:r>
        <w:rPr>
          <w:rFonts w:ascii="仿宋_GB2312" w:hAnsi="仿宋_GB2312" w:cs="仿宋_GB2312"/>
          <w:color w:val="auto"/>
          <w:kern w:val="0"/>
          <w:sz w:val="28"/>
          <w:szCs w:val="28"/>
          <w:highlight w:val="none"/>
        </w:rPr>
        <w:t>、</w:t>
      </w:r>
      <w:r>
        <w:rPr>
          <w:rFonts w:hint="eastAsia" w:ascii="仿宋_GB2312" w:hAnsi="仿宋_GB2312" w:cs="仿宋_GB2312"/>
          <w:color w:val="auto"/>
          <w:kern w:val="0"/>
          <w:sz w:val="28"/>
          <w:szCs w:val="28"/>
          <w:highlight w:val="none"/>
        </w:rPr>
        <w:t>政府性基金预算收入支出决算情况</w:t>
      </w:r>
    </w:p>
    <w:p>
      <w:pPr>
        <w:autoSpaceDE w:val="0"/>
        <w:autoSpaceDN w:val="0"/>
        <w:adjustRightInd w:val="0"/>
        <w:spacing w:line="500" w:lineRule="exact"/>
        <w:ind w:firstLine="560" w:firstLineChars="200"/>
        <w:jc w:val="left"/>
        <w:rPr>
          <w:rFonts w:ascii="仿宋_GB2312" w:hAnsi="仿宋_GB2312" w:cs="仿宋_GB2312"/>
          <w:color w:val="auto"/>
          <w:kern w:val="0"/>
          <w:sz w:val="28"/>
          <w:szCs w:val="28"/>
          <w:highlight w:val="none"/>
        </w:rPr>
      </w:pPr>
      <w:r>
        <w:rPr>
          <w:rFonts w:hint="eastAsia" w:ascii="仿宋_GB2312" w:hAnsi="仿宋_GB2312" w:cs="仿宋_GB2312"/>
          <w:color w:val="auto"/>
          <w:kern w:val="0"/>
          <w:sz w:val="28"/>
          <w:szCs w:val="28"/>
          <w:highlight w:val="none"/>
        </w:rPr>
        <w:t xml:space="preserve"> 九、国有资本经营预算财政拨款支出决算情况</w:t>
      </w:r>
    </w:p>
    <w:p>
      <w:pPr>
        <w:autoSpaceDE w:val="0"/>
        <w:autoSpaceDN w:val="0"/>
        <w:adjustRightInd w:val="0"/>
        <w:spacing w:line="500" w:lineRule="exact"/>
        <w:jc w:val="left"/>
        <w:rPr>
          <w:rFonts w:ascii="仿宋_GB2312" w:hAnsi="仿宋_GB2312" w:cs="仿宋_GB2312"/>
          <w:color w:val="auto"/>
          <w:kern w:val="0"/>
          <w:sz w:val="28"/>
          <w:szCs w:val="28"/>
          <w:highlight w:val="none"/>
        </w:rPr>
      </w:pPr>
      <w:r>
        <w:rPr>
          <w:rFonts w:hint="eastAsia" w:ascii="仿宋_GB2312" w:hAnsi="仿宋_GB2312" w:cs="仿宋_GB2312"/>
          <w:color w:val="auto"/>
          <w:kern w:val="0"/>
          <w:sz w:val="28"/>
          <w:szCs w:val="28"/>
          <w:highlight w:val="none"/>
        </w:rPr>
        <w:t xml:space="preserve"> </w:t>
      </w:r>
      <w:r>
        <w:rPr>
          <w:rFonts w:hint="eastAsia" w:ascii="仿宋_GB2312" w:hAnsi="仿宋_GB2312" w:cs="仿宋_GB2312"/>
          <w:color w:val="auto"/>
          <w:kern w:val="0"/>
          <w:sz w:val="28"/>
          <w:szCs w:val="28"/>
          <w:highlight w:val="none"/>
          <w:lang w:val="en-US" w:eastAsia="zh-CN"/>
        </w:rPr>
        <w:t xml:space="preserve">    </w:t>
      </w:r>
      <w:r>
        <w:rPr>
          <w:rFonts w:hint="eastAsia" w:ascii="仿宋_GB2312" w:hAnsi="仿宋_GB2312" w:cs="仿宋_GB2312"/>
          <w:color w:val="auto"/>
          <w:kern w:val="0"/>
          <w:sz w:val="28"/>
          <w:szCs w:val="28"/>
          <w:highlight w:val="none"/>
        </w:rPr>
        <w:t>十、机关运行经费支出说明</w:t>
      </w:r>
    </w:p>
    <w:p>
      <w:pPr>
        <w:autoSpaceDE w:val="0"/>
        <w:autoSpaceDN w:val="0"/>
        <w:adjustRightInd w:val="0"/>
        <w:spacing w:line="500" w:lineRule="exact"/>
        <w:jc w:val="left"/>
        <w:rPr>
          <w:rFonts w:hint="eastAsia" w:ascii="仿宋_GB2312" w:hAnsi="仿宋_GB2312" w:cs="仿宋_GB2312" w:eastAsiaTheme="minorEastAsia"/>
          <w:color w:val="auto"/>
          <w:kern w:val="0"/>
          <w:sz w:val="28"/>
          <w:szCs w:val="28"/>
          <w:highlight w:val="none"/>
          <w:lang w:eastAsia="zh-CN"/>
        </w:rPr>
      </w:pPr>
      <w:r>
        <w:rPr>
          <w:rFonts w:hint="eastAsia" w:ascii="仿宋_GB2312" w:hAnsi="仿宋_GB2312" w:cs="仿宋_GB2312"/>
          <w:color w:val="auto"/>
          <w:kern w:val="0"/>
          <w:sz w:val="28"/>
          <w:szCs w:val="28"/>
          <w:highlight w:val="none"/>
        </w:rPr>
        <w:t xml:space="preserve">     十一、一般性支出情况</w:t>
      </w:r>
      <w:r>
        <w:rPr>
          <w:rFonts w:hint="eastAsia" w:ascii="仿宋_GB2312" w:hAnsi="仿宋_GB2312" w:cs="仿宋_GB2312"/>
          <w:color w:val="auto"/>
          <w:kern w:val="0"/>
          <w:sz w:val="28"/>
          <w:szCs w:val="28"/>
          <w:highlight w:val="none"/>
          <w:lang w:eastAsia="zh-CN"/>
        </w:rPr>
        <w:t>说明</w:t>
      </w:r>
    </w:p>
    <w:p>
      <w:pPr>
        <w:autoSpaceDE w:val="0"/>
        <w:autoSpaceDN w:val="0"/>
        <w:adjustRightInd w:val="0"/>
        <w:spacing w:line="500" w:lineRule="exact"/>
        <w:jc w:val="left"/>
        <w:rPr>
          <w:rFonts w:ascii="仿宋_GB2312" w:hAnsi="仿宋_GB2312" w:cs="仿宋_GB2312"/>
          <w:color w:val="auto"/>
          <w:kern w:val="0"/>
          <w:sz w:val="28"/>
          <w:szCs w:val="28"/>
          <w:highlight w:val="none"/>
        </w:rPr>
      </w:pPr>
      <w:r>
        <w:rPr>
          <w:rFonts w:hint="eastAsia" w:ascii="仿宋_GB2312" w:hAnsi="仿宋_GB2312" w:cs="仿宋_GB2312"/>
          <w:color w:val="auto"/>
          <w:kern w:val="0"/>
          <w:sz w:val="28"/>
          <w:szCs w:val="28"/>
          <w:highlight w:val="none"/>
        </w:rPr>
        <w:t xml:space="preserve">     十二、政府采购支出说明</w:t>
      </w:r>
    </w:p>
    <w:p>
      <w:pPr>
        <w:autoSpaceDE w:val="0"/>
        <w:autoSpaceDN w:val="0"/>
        <w:adjustRightInd w:val="0"/>
        <w:spacing w:line="500" w:lineRule="exact"/>
        <w:jc w:val="left"/>
        <w:rPr>
          <w:rFonts w:ascii="仿宋_GB2312" w:hAnsi="仿宋_GB2312" w:cs="仿宋_GB2312"/>
          <w:color w:val="auto"/>
          <w:kern w:val="0"/>
          <w:sz w:val="28"/>
          <w:szCs w:val="28"/>
          <w:highlight w:val="none"/>
        </w:rPr>
      </w:pPr>
      <w:r>
        <w:rPr>
          <w:rFonts w:hint="eastAsia" w:ascii="仿宋_GB2312" w:hAnsi="仿宋_GB2312" w:cs="仿宋_GB2312"/>
          <w:color w:val="auto"/>
          <w:kern w:val="0"/>
          <w:sz w:val="28"/>
          <w:szCs w:val="28"/>
          <w:highlight w:val="none"/>
        </w:rPr>
        <w:t xml:space="preserve">     十三、国有资产占用情况说明</w:t>
      </w:r>
    </w:p>
    <w:p>
      <w:pPr>
        <w:autoSpaceDE w:val="0"/>
        <w:autoSpaceDN w:val="0"/>
        <w:adjustRightInd w:val="0"/>
        <w:spacing w:line="500" w:lineRule="exact"/>
        <w:jc w:val="left"/>
        <w:rPr>
          <w:rFonts w:ascii="仿宋_GB2312" w:hAnsi="仿宋_GB2312" w:cs="仿宋_GB2312"/>
          <w:color w:val="auto"/>
          <w:kern w:val="0"/>
          <w:sz w:val="28"/>
          <w:szCs w:val="28"/>
          <w:highlight w:val="none"/>
        </w:rPr>
      </w:pPr>
      <w:r>
        <w:rPr>
          <w:rFonts w:hint="eastAsia" w:ascii="仿宋_GB2312" w:hAnsi="仿宋_GB2312" w:cs="仿宋_GB2312"/>
          <w:color w:val="auto"/>
          <w:kern w:val="0"/>
          <w:sz w:val="28"/>
          <w:szCs w:val="28"/>
          <w:highlight w:val="none"/>
        </w:rPr>
        <w:t xml:space="preserve">     十四、202</w:t>
      </w:r>
      <w:r>
        <w:rPr>
          <w:rFonts w:hint="eastAsia" w:ascii="仿宋_GB2312" w:hAnsi="仿宋_GB2312" w:cs="仿宋_GB2312"/>
          <w:color w:val="auto"/>
          <w:kern w:val="0"/>
          <w:sz w:val="28"/>
          <w:szCs w:val="28"/>
          <w:highlight w:val="none"/>
          <w:lang w:val="en-US" w:eastAsia="zh-CN"/>
        </w:rPr>
        <w:t>1</w:t>
      </w:r>
      <w:r>
        <w:rPr>
          <w:rFonts w:hint="eastAsia" w:ascii="仿宋_GB2312" w:hAnsi="仿宋_GB2312" w:cs="仿宋_GB2312"/>
          <w:color w:val="auto"/>
          <w:kern w:val="0"/>
          <w:sz w:val="28"/>
          <w:szCs w:val="28"/>
          <w:highlight w:val="none"/>
        </w:rPr>
        <w:t>年度预算绩效情况说明</w:t>
      </w:r>
    </w:p>
    <w:p>
      <w:pPr>
        <w:autoSpaceDE w:val="0"/>
        <w:autoSpaceDN w:val="0"/>
        <w:adjustRightInd w:val="0"/>
        <w:spacing w:line="520" w:lineRule="exact"/>
        <w:jc w:val="left"/>
        <w:rPr>
          <w:rFonts w:ascii="黑体" w:hAnsi="黑体" w:eastAsia="黑体" w:cs="仿宋_GB2312"/>
          <w:b/>
          <w:color w:val="auto"/>
          <w:kern w:val="0"/>
          <w:sz w:val="28"/>
          <w:szCs w:val="28"/>
          <w:highlight w:val="none"/>
        </w:rPr>
      </w:pPr>
      <w:r>
        <w:rPr>
          <w:rFonts w:ascii="黑体" w:hAnsi="黑体" w:eastAsia="黑体" w:cs="黑体"/>
          <w:b/>
          <w:color w:val="auto"/>
          <w:kern w:val="0"/>
          <w:sz w:val="28"/>
          <w:szCs w:val="28"/>
          <w:highlight w:val="none"/>
        </w:rPr>
        <w:t>第四部分</w:t>
      </w:r>
      <w:r>
        <w:rPr>
          <w:rFonts w:hint="eastAsia" w:ascii="黑体" w:hAnsi="黑体" w:eastAsia="黑体" w:cs="黑体"/>
          <w:b/>
          <w:color w:val="auto"/>
          <w:kern w:val="0"/>
          <w:sz w:val="28"/>
          <w:szCs w:val="28"/>
          <w:highlight w:val="none"/>
          <w:lang w:val="en-US" w:eastAsia="zh-CN"/>
        </w:rPr>
        <w:t xml:space="preserve">  </w:t>
      </w:r>
      <w:r>
        <w:rPr>
          <w:rFonts w:ascii="黑体" w:hAnsi="黑体" w:eastAsia="黑体" w:cs="黑体"/>
          <w:b/>
          <w:color w:val="auto"/>
          <w:kern w:val="0"/>
          <w:sz w:val="28"/>
          <w:szCs w:val="28"/>
          <w:highlight w:val="none"/>
        </w:rPr>
        <w:t>名词解释</w:t>
      </w:r>
    </w:p>
    <w:p>
      <w:pPr>
        <w:spacing w:line="520" w:lineRule="exact"/>
        <w:jc w:val="left"/>
        <w:rPr>
          <w:rFonts w:ascii="黑体" w:hAnsi="黑体" w:eastAsia="黑体" w:cs="仿宋_GB2312"/>
          <w:b/>
          <w:color w:val="auto"/>
          <w:kern w:val="0"/>
          <w:sz w:val="28"/>
          <w:szCs w:val="28"/>
          <w:highlight w:val="none"/>
        </w:rPr>
      </w:pPr>
      <w:r>
        <w:rPr>
          <w:rFonts w:ascii="黑体" w:hAnsi="黑体" w:eastAsia="黑体" w:cs="黑体"/>
          <w:b/>
          <w:color w:val="auto"/>
          <w:kern w:val="0"/>
          <w:sz w:val="28"/>
          <w:szCs w:val="28"/>
          <w:highlight w:val="none"/>
        </w:rPr>
        <w:t>第五部分</w:t>
      </w:r>
      <w:r>
        <w:rPr>
          <w:rFonts w:hint="eastAsia" w:ascii="黑体" w:hAnsi="黑体" w:eastAsia="黑体" w:cs="黑体"/>
          <w:b/>
          <w:color w:val="auto"/>
          <w:kern w:val="0"/>
          <w:sz w:val="28"/>
          <w:szCs w:val="28"/>
          <w:highlight w:val="none"/>
          <w:lang w:val="en-US" w:eastAsia="zh-CN"/>
        </w:rPr>
        <w:t xml:space="preserve">  </w:t>
      </w:r>
      <w:r>
        <w:rPr>
          <w:rFonts w:ascii="黑体" w:hAnsi="黑体" w:eastAsia="黑体" w:cs="黑体"/>
          <w:b/>
          <w:color w:val="auto"/>
          <w:kern w:val="0"/>
          <w:sz w:val="28"/>
          <w:szCs w:val="28"/>
          <w:highlight w:val="none"/>
        </w:rPr>
        <w:t>附件</w:t>
      </w: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rPr>
          <w:color w:val="auto"/>
          <w:sz w:val="72"/>
          <w:szCs w:val="72"/>
          <w:highlight w:val="none"/>
        </w:rPr>
      </w:pPr>
    </w:p>
    <w:p>
      <w:pPr>
        <w:rPr>
          <w:color w:val="auto"/>
          <w:sz w:val="72"/>
          <w:szCs w:val="72"/>
          <w:highlight w:val="none"/>
        </w:rPr>
      </w:pPr>
    </w:p>
    <w:p>
      <w:pPr>
        <w:rPr>
          <w:color w:val="auto"/>
          <w:sz w:val="72"/>
          <w:szCs w:val="72"/>
          <w:highlight w:val="none"/>
        </w:rPr>
      </w:pPr>
    </w:p>
    <w:p>
      <w:pPr>
        <w:rPr>
          <w:color w:val="auto"/>
          <w:sz w:val="72"/>
          <w:szCs w:val="72"/>
          <w:highlight w:val="none"/>
        </w:rPr>
      </w:pPr>
    </w:p>
    <w:p>
      <w:pPr>
        <w:rPr>
          <w:color w:val="auto"/>
          <w:sz w:val="72"/>
          <w:szCs w:val="72"/>
          <w:highlight w:val="none"/>
        </w:rPr>
      </w:pPr>
    </w:p>
    <w:p>
      <w:pPr>
        <w:rPr>
          <w:color w:val="auto"/>
          <w:sz w:val="72"/>
          <w:szCs w:val="72"/>
          <w:highlight w:val="none"/>
        </w:rPr>
      </w:pPr>
    </w:p>
    <w:p>
      <w:pPr>
        <w:rPr>
          <w:color w:val="auto"/>
          <w:sz w:val="72"/>
          <w:szCs w:val="72"/>
          <w:highlight w:val="none"/>
        </w:rPr>
      </w:pPr>
    </w:p>
    <w:p>
      <w:pPr>
        <w:rPr>
          <w:color w:val="auto"/>
          <w:sz w:val="72"/>
          <w:szCs w:val="72"/>
          <w:highlight w:val="none"/>
        </w:rPr>
      </w:pPr>
    </w:p>
    <w:p>
      <w:pPr>
        <w:rPr>
          <w:color w:val="auto"/>
          <w:sz w:val="72"/>
          <w:szCs w:val="72"/>
          <w:highlight w:val="none"/>
        </w:rPr>
      </w:pPr>
    </w:p>
    <w:p>
      <w:pPr>
        <w:rPr>
          <w:color w:val="auto"/>
          <w:sz w:val="72"/>
          <w:szCs w:val="72"/>
          <w:highlight w:val="none"/>
        </w:rPr>
      </w:pPr>
    </w:p>
    <w:p>
      <w:pPr>
        <w:pStyle w:val="14"/>
        <w:jc w:val="center"/>
        <w:rPr>
          <w:color w:val="auto"/>
          <w:sz w:val="84"/>
          <w:szCs w:val="84"/>
          <w:highlight w:val="none"/>
        </w:rPr>
      </w:pPr>
      <w:r>
        <w:rPr>
          <w:rFonts w:hint="eastAsia"/>
          <w:color w:val="auto"/>
          <w:sz w:val="84"/>
          <w:szCs w:val="84"/>
          <w:highlight w:val="none"/>
        </w:rPr>
        <w:t>第一部分</w:t>
      </w:r>
      <w:r>
        <w:rPr>
          <w:color w:val="auto"/>
          <w:sz w:val="84"/>
          <w:szCs w:val="84"/>
          <w:highlight w:val="none"/>
        </w:rPr>
        <w:t xml:space="preserve"> </w:t>
      </w:r>
    </w:p>
    <w:p>
      <w:pPr>
        <w:pStyle w:val="14"/>
        <w:jc w:val="center"/>
        <w:rPr>
          <w:color w:val="auto"/>
          <w:sz w:val="84"/>
          <w:szCs w:val="84"/>
          <w:highlight w:val="none"/>
        </w:rPr>
      </w:pPr>
    </w:p>
    <w:p>
      <w:pPr>
        <w:pStyle w:val="14"/>
        <w:jc w:val="center"/>
        <w:rPr>
          <w:rFonts w:hint="eastAsia"/>
          <w:color w:val="auto"/>
          <w:sz w:val="72"/>
          <w:szCs w:val="72"/>
          <w:highlight w:val="none"/>
          <w:lang w:eastAsia="zh-CN"/>
        </w:rPr>
      </w:pPr>
      <w:r>
        <w:rPr>
          <w:rFonts w:hint="eastAsia"/>
          <w:color w:val="auto"/>
          <w:sz w:val="72"/>
          <w:szCs w:val="72"/>
          <w:highlight w:val="none"/>
          <w:lang w:eastAsia="zh-CN"/>
        </w:rPr>
        <w:t>岳阳市卫生健康委员会</w:t>
      </w:r>
    </w:p>
    <w:p>
      <w:pPr>
        <w:pStyle w:val="14"/>
        <w:jc w:val="center"/>
        <w:rPr>
          <w:color w:val="auto"/>
          <w:sz w:val="72"/>
          <w:szCs w:val="72"/>
          <w:highlight w:val="none"/>
        </w:rPr>
      </w:pPr>
      <w:r>
        <w:rPr>
          <w:rFonts w:hint="eastAsia"/>
          <w:color w:val="auto"/>
          <w:sz w:val="72"/>
          <w:szCs w:val="72"/>
          <w:highlight w:val="none"/>
        </w:rPr>
        <w:t>概</w:t>
      </w:r>
      <w:r>
        <w:rPr>
          <w:rFonts w:hint="eastAsia"/>
          <w:color w:val="auto"/>
          <w:sz w:val="72"/>
          <w:szCs w:val="72"/>
          <w:highlight w:val="none"/>
          <w:lang w:val="en-US" w:eastAsia="zh-CN"/>
        </w:rPr>
        <w:t xml:space="preserve">  </w:t>
      </w:r>
      <w:r>
        <w:rPr>
          <w:rFonts w:hint="eastAsia"/>
          <w:color w:val="auto"/>
          <w:sz w:val="72"/>
          <w:szCs w:val="72"/>
          <w:highlight w:val="none"/>
        </w:rPr>
        <w:t>况</w:t>
      </w: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pStyle w:val="15"/>
        <w:ind w:left="0" w:leftChars="0" w:firstLine="0" w:firstLineChars="0"/>
        <w:jc w:val="left"/>
        <w:rPr>
          <w:rFonts w:ascii="黑体" w:hAnsi="黑体" w:eastAsia="黑体"/>
          <w:color w:val="auto"/>
          <w:sz w:val="32"/>
          <w:szCs w:val="32"/>
          <w:highlight w:val="none"/>
        </w:rPr>
      </w:pPr>
    </w:p>
    <w:p>
      <w:pPr>
        <w:pStyle w:val="15"/>
        <w:numPr>
          <w:ilvl w:val="0"/>
          <w:numId w:val="1"/>
        </w:numPr>
        <w:ind w:firstLineChars="0"/>
        <w:jc w:val="left"/>
        <w:rPr>
          <w:rFonts w:ascii="黑体" w:hAnsi="黑体" w:eastAsia="黑体"/>
          <w:color w:val="auto"/>
          <w:sz w:val="32"/>
          <w:szCs w:val="32"/>
          <w:highlight w:val="none"/>
        </w:rPr>
      </w:pPr>
      <w:r>
        <w:rPr>
          <w:rFonts w:ascii="黑体" w:hAnsi="黑体" w:eastAsia="黑体"/>
          <w:color w:val="auto"/>
          <w:sz w:val="32"/>
          <w:szCs w:val="32"/>
          <w:highlight w:val="none"/>
        </w:rPr>
        <w:t>部门职责</w:t>
      </w:r>
    </w:p>
    <w:p>
      <w:pPr>
        <w:pStyle w:val="7"/>
        <w:keepNext w:val="0"/>
        <w:keepLines w:val="0"/>
        <w:widowControl/>
        <w:suppressLineNumbers w:val="0"/>
        <w:spacing w:before="0" w:beforeAutospacing="0" w:after="0" w:afterAutospacing="0" w:line="33" w:lineRule="atLeast"/>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一）贯彻执行国民健康政策及国家和省关于卫生健康工作的方针政策和法律法规，拟订并组织实施全市卫生健康政策、规划，组织实施国家、省卫生健康地方标准和技术规范。统筹规划全市卫生健康服务资源配置，指导区域卫生健康规划的编制和实施。制定并组织实施推进卫生健康基本公共服务均等化、普惠化、便捷化和公共资源向基层延伸等政策措施。</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二）协调推进全市深化医药卫生体制改革，研究提出全市深化医药卫生体制改革政策、措施的建议。组织深化公立医院综合改革，推进管办分离，健全现代医院管理制度。制定并组织实施推动卫生健康公共服务提供主体多元化、提供方式多样化的政策措施，提出医疗服务和药品价格政策的建议。</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三）制定并组织落实全市疾病预防控制规划、免疫规划以及严重危害人民健康公共卫生问题的干预措施。负责卫生应急工作，组织指导全市突发公共卫生事件预防控制和各类突发公共事件的医疗卫生救援。承担传染病疫情信息上报工作，发布突发公共卫生事件应急处置信息。</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（四）组织拟订并协调落实应对人口老龄化政策措施，推进老年健康服务体系建设和医养结合工作。</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（五）贯彻执行国家药物政策和国家基本药物制度，开展药品使用监测、临床综合评价和短缺药品预警。组织开展食品安全风险监测，负责食源性疾病及与食品安全事故有关的流行病学调查。</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（六）负责职责范围内的职业卫生、放射卫生、环境卫生、学校卫生、公共场所卫生、饮用水卫生等公共卫生的监督管理。负责传染病防治监督，健全卫生健康综合监督体系。</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七）制定全市医疗机构、医疗服务行业管理办法并监督实施，建立医疗服务评价和监督管理体系。会同有关部门实施卫生健康专业技术人员资格标准。制定并组织实施医疗服务规范、标准和卫生健康专业技术人员执业规则、服务规范。</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（八）负责计划生育管理和服务工作，开展人口监测预警，研究提出人口与家庭发展相关政策建议，提出完善计划生育政策建议。</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（九）指导全市卫生健康工作，指导基层医疗卫生、妇幼健康服务体系建设，加强全科医生队伍建设。推进卫生健康科技创新发展。</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（十）负责全市健康教育、健康促进和卫生健康信息化建设等工作。组织实施国际、港澳台的交流合作与援外工作。</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（十一）负责市保健对象的医疗保健工作，负责重要来宾、重要会议与重大活动的医疗卫生保障工作,指导全市保健工作。</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（十二）指导市计划生育协会的业务工作。</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（十三）完成市委、市政府交办的其他事项。</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十四）职能转变。市卫健委应当牢固树立大卫生、大健康理念，推动实施健康岳阳战略，以改革创新为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提供主体多元化、提供方式多样化。</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（十五）有关职责分工</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1．与市发改委的有关职责分工。市卫健委负责开展人口监测预警工作，研究提出与生育相关的人口数量、素质、结构、分布方面的政策建议，促进生育政策和相关经济社会政策配套衔接，参与制定全市人口发展规划和政策，落实国家、省和全市人口发展规划中的有关任务。市发改委负责组织监测和评估人口变动情况及趋势影响，建立人口预测预报制度，开展重大决策人口影响评估，完善重大人口政策咨询机制，研究提出全市人口发展战略，拟订人口发展规划和人口政策，研究提出人口与经济、社会、资源、环境协调可持续发展，以及统筹促进人口长期均衡发展的政策建议。</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2．与市民政局的有关职责分工。市卫健委负责拟订应对人口老龄化、医养结合政策措施，综合协调、督促指导、组织推进老龄事业发展，承担老年疾病防治、老年人医疗照护、老年人心理健康与关怀服务等老年健康工作。市民政局负责统筹推进、督促指导、监督管理养老服务工作，起草养老服务地方性法规草案、拟订养老服务体系建设规划、政策、标准并组织实施，承担老年人福利和特殊困难老年人救助工作。</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3．与岳阳海关的有关职责分工。市卫健委负责传染病总体防治和突发公共卫生事件应急工作。市卫健委与岳阳海关建立健全应对口岸传染病疫情和公共卫生事件合作机制、传染病疫情和公共卫生事件通报交流机制、口岸输入性疫情通报和协作处理机制。</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4．与市市场监管局的有关职责分工。市卫健委负责食品安全风险监测工作，会同市市场监管局等部门制定、实施食品安全风险监测计划。市卫健委对通过食品安全风险监测或者接到举报发现食品可能存在安全隐患的，应当及时将相关信息通报市市场监管局等部门，市市场监管局等部门应当立即采取措施。市市场监管局等部门在监督管理工作中发现需要进行食品安全风险评估的，应当及时向市卫健委提出建议。市市场监管局会同市卫健委建立重大药品不良反应和医疗器械不良事件相互通报机制和联合处置机制。</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5．与市医保局的有关职责分工。市卫健委、市医保局等部门在医疗、医保、医药等方面加强制度、政策衔接，建立沟通协商机制，协同推进改革，提高医疗资源使用效率和医疗保障水平。</w:t>
      </w:r>
    </w:p>
    <w:p>
      <w:pPr>
        <w:widowControl/>
        <w:spacing w:line="600" w:lineRule="exact"/>
        <w:rPr>
          <w:rFonts w:ascii="黑体" w:hAnsi="黑体" w:eastAsia="黑体"/>
          <w:bCs/>
          <w:color w:val="auto"/>
          <w:kern w:val="0"/>
          <w:sz w:val="32"/>
          <w:szCs w:val="32"/>
          <w:highlight w:val="none"/>
        </w:rPr>
      </w:pPr>
      <w:r>
        <w:rPr>
          <w:rFonts w:hint="eastAsia" w:ascii="黑体" w:hAnsi="黑体" w:eastAsia="黑体"/>
          <w:bCs/>
          <w:color w:val="auto"/>
          <w:kern w:val="0"/>
          <w:sz w:val="32"/>
          <w:szCs w:val="32"/>
          <w:highlight w:val="none"/>
        </w:rPr>
        <w:t>二、机构设置及决算单位构成</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bCs/>
          <w:color w:val="auto"/>
          <w:kern w:val="0"/>
          <w:sz w:val="32"/>
          <w:szCs w:val="32"/>
          <w:highlight w:val="none"/>
        </w:rPr>
      </w:pPr>
      <w:r>
        <w:rPr>
          <w:rFonts w:hint="eastAsia" w:asciiTheme="minorEastAsia" w:hAnsiTheme="minorEastAsia"/>
          <w:bCs/>
          <w:color w:val="auto"/>
          <w:kern w:val="0"/>
          <w:sz w:val="32"/>
          <w:szCs w:val="32"/>
          <w:highlight w:val="none"/>
        </w:rPr>
        <w:t>（一）内设机构设置。</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bCs/>
          <w:color w:val="auto"/>
          <w:kern w:val="0"/>
          <w:sz w:val="32"/>
          <w:szCs w:val="32"/>
          <w:highlight w:val="none"/>
        </w:rPr>
      </w:pPr>
      <w:r>
        <w:rPr>
          <w:rFonts w:hint="eastAsia" w:asciiTheme="minorEastAsia" w:hAnsiTheme="minorEastAsia"/>
          <w:bCs/>
          <w:color w:val="auto"/>
          <w:kern w:val="0"/>
          <w:sz w:val="32"/>
          <w:szCs w:val="32"/>
          <w:highlight w:val="none"/>
          <w:lang w:eastAsia="zh-CN"/>
        </w:rPr>
        <w:t>岳阳市卫生健康委员会</w:t>
      </w:r>
      <w:r>
        <w:rPr>
          <w:rFonts w:hint="eastAsia" w:asciiTheme="minorEastAsia" w:hAnsiTheme="minorEastAsia"/>
          <w:bCs/>
          <w:color w:val="auto"/>
          <w:kern w:val="0"/>
          <w:sz w:val="32"/>
          <w:szCs w:val="32"/>
          <w:highlight w:val="none"/>
        </w:rPr>
        <w:t>内设机构包括：</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bCs/>
          <w:color w:val="auto"/>
          <w:kern w:val="0"/>
          <w:sz w:val="32"/>
          <w:szCs w:val="32"/>
          <w:highlight w:val="none"/>
        </w:rPr>
      </w:pPr>
      <w:r>
        <w:rPr>
          <w:rFonts w:hint="eastAsia" w:asciiTheme="minorEastAsia" w:hAnsiTheme="minorEastAsia"/>
          <w:bCs/>
          <w:color w:val="auto"/>
          <w:kern w:val="0"/>
          <w:sz w:val="32"/>
          <w:szCs w:val="32"/>
          <w:highlight w:val="none"/>
        </w:rPr>
        <w:t>1、办公室。2、规划发展与信息化科；3、疾病预防控制与职业健康科（市血吸虫病防治办公室、市防治艾滋病工作委员会办公室）。4、医政医管科。5、基层卫生健康科。6、卫生应急办公室（突发公共卫生事件应急指挥中心）。7、科技教育科。8、法规与综合监督科（行政审批科、食品安全标准与监测科）。9、药物政策与基本药物制度科。10、中医药管理科（中医药管理局）。11、老龄健康科（市老龄工作委员会办公室）。12、妇幼健康科。13、人口监测与家庭发展科。14、 爱国卫生工作科（市爱国卫生运动委员会办公室）。15、宣传科。16、财务科（审计科）。17、人事科。18、机关党委（纪委）。19、离退休人员管理服务科（干部保健科）。</w:t>
      </w:r>
    </w:p>
    <w:p>
      <w:pPr>
        <w:widowControl/>
        <w:spacing w:line="600" w:lineRule="exact"/>
        <w:ind w:firstLine="640" w:firstLineChars="200"/>
        <w:rPr>
          <w:rFonts w:hint="eastAsia" w:asciiTheme="minorEastAsia" w:hAnsiTheme="minorEastAsia" w:eastAsiaTheme="minorEastAsia"/>
          <w:bCs/>
          <w:color w:val="auto"/>
          <w:kern w:val="0"/>
          <w:sz w:val="32"/>
          <w:szCs w:val="32"/>
          <w:highlight w:val="none"/>
          <w:lang w:eastAsia="zh-CN"/>
        </w:rPr>
      </w:pPr>
      <w:r>
        <w:rPr>
          <w:rFonts w:hint="eastAsia" w:asciiTheme="minorEastAsia" w:hAnsiTheme="minorEastAsia"/>
          <w:bCs/>
          <w:color w:val="auto"/>
          <w:kern w:val="0"/>
          <w:sz w:val="32"/>
          <w:szCs w:val="32"/>
          <w:highlight w:val="none"/>
        </w:rPr>
        <w:t>（二）决算单位构成。</w:t>
      </w:r>
      <w:r>
        <w:rPr>
          <w:rFonts w:hint="eastAsia" w:ascii="宋体"/>
          <w:bCs/>
          <w:color w:val="auto"/>
          <w:kern w:val="0"/>
          <w:sz w:val="32"/>
          <w:szCs w:val="32"/>
          <w:highlight w:val="none"/>
        </w:rPr>
        <w:t>岳阳市</w:t>
      </w:r>
      <w:r>
        <w:rPr>
          <w:rFonts w:hint="eastAsia" w:ascii="宋体"/>
          <w:bCs/>
          <w:color w:val="auto"/>
          <w:kern w:val="0"/>
          <w:sz w:val="32"/>
          <w:szCs w:val="32"/>
          <w:highlight w:val="none"/>
          <w:lang w:eastAsia="zh-CN"/>
        </w:rPr>
        <w:t>卫生健康委员会</w:t>
      </w:r>
      <w:r>
        <w:rPr>
          <w:rFonts w:hint="eastAsia" w:ascii="宋体"/>
          <w:bCs/>
          <w:color w:val="auto"/>
          <w:kern w:val="0"/>
          <w:sz w:val="32"/>
          <w:szCs w:val="32"/>
          <w:highlight w:val="none"/>
        </w:rPr>
        <w:t>202</w:t>
      </w:r>
      <w:r>
        <w:rPr>
          <w:rFonts w:ascii="宋体"/>
          <w:bCs/>
          <w:color w:val="auto"/>
          <w:kern w:val="0"/>
          <w:sz w:val="32"/>
          <w:szCs w:val="32"/>
          <w:highlight w:val="none"/>
        </w:rPr>
        <w:t>1</w:t>
      </w:r>
      <w:r>
        <w:rPr>
          <w:rFonts w:hint="eastAsia" w:ascii="宋体"/>
          <w:bCs/>
          <w:color w:val="auto"/>
          <w:kern w:val="0"/>
          <w:sz w:val="32"/>
          <w:szCs w:val="32"/>
          <w:highlight w:val="none"/>
        </w:rPr>
        <w:t>年部门决算汇总公开单位构成包括：本单位本级</w:t>
      </w:r>
      <w:r>
        <w:rPr>
          <w:rFonts w:hint="eastAsia" w:asciiTheme="minorEastAsia" w:hAnsiTheme="minorEastAsia"/>
          <w:bCs/>
          <w:color w:val="auto"/>
          <w:kern w:val="0"/>
          <w:sz w:val="32"/>
          <w:szCs w:val="32"/>
          <w:highlight w:val="none"/>
        </w:rPr>
        <w:t>。</w:t>
      </w:r>
      <w:r>
        <w:rPr>
          <w:rFonts w:hint="eastAsia" w:asciiTheme="minorEastAsia" w:hAnsiTheme="minorEastAsia"/>
          <w:bCs/>
          <w:color w:val="auto"/>
          <w:kern w:val="0"/>
          <w:sz w:val="32"/>
          <w:szCs w:val="32"/>
          <w:highlight w:val="none"/>
          <w:lang w:eastAsia="zh-CN"/>
        </w:rPr>
        <w:t>（本报告属岳阳市卫健委本级决算公开内容，此份公开不包含下级单位。）</w:t>
      </w:r>
    </w:p>
    <w:p>
      <w:pPr>
        <w:widowControl/>
        <w:spacing w:line="600" w:lineRule="exact"/>
        <w:ind w:firstLine="560" w:firstLineChars="200"/>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both"/>
        <w:rPr>
          <w:color w:val="auto"/>
          <w:sz w:val="72"/>
          <w:szCs w:val="72"/>
          <w:highlight w:val="none"/>
        </w:rPr>
      </w:pPr>
    </w:p>
    <w:p>
      <w:pPr>
        <w:jc w:val="left"/>
        <w:rPr>
          <w:rFonts w:asciiTheme="minorEastAsia" w:hAnsiTheme="minorEastAsia"/>
          <w:color w:val="auto"/>
          <w:sz w:val="32"/>
          <w:szCs w:val="32"/>
          <w:highlight w:val="none"/>
        </w:rPr>
        <w:sectPr>
          <w:pgSz w:w="11906" w:h="16838"/>
          <w:pgMar w:top="1440" w:right="1800" w:bottom="1440" w:left="1800" w:header="851" w:footer="992" w:gutter="0"/>
          <w:cols w:space="425" w:num="1"/>
          <w:docGrid w:type="lines" w:linePitch="312" w:charSpace="0"/>
        </w:sectPr>
      </w:pPr>
    </w:p>
    <w:p>
      <w:pPr>
        <w:pStyle w:val="14"/>
        <w:rPr>
          <w:rFonts w:hint="eastAsia"/>
          <w:color w:val="auto"/>
          <w:sz w:val="72"/>
          <w:szCs w:val="72"/>
          <w:highlight w:val="none"/>
          <w:lang w:val="en-US" w:eastAsia="zh-CN"/>
        </w:rPr>
      </w:pPr>
      <w:r>
        <w:rPr>
          <w:rFonts w:hint="eastAsia"/>
          <w:color w:val="auto"/>
          <w:sz w:val="72"/>
          <w:szCs w:val="72"/>
          <w:highlight w:val="none"/>
          <w:lang w:val="en-US" w:eastAsia="zh-CN"/>
        </w:rPr>
        <w:t xml:space="preserve">                  </w:t>
      </w:r>
    </w:p>
    <w:p>
      <w:pPr>
        <w:pStyle w:val="14"/>
        <w:rPr>
          <w:rFonts w:hint="eastAsia"/>
          <w:color w:val="auto"/>
          <w:sz w:val="72"/>
          <w:szCs w:val="72"/>
          <w:highlight w:val="none"/>
          <w:lang w:val="en-US" w:eastAsia="zh-CN"/>
        </w:rPr>
      </w:pPr>
    </w:p>
    <w:p>
      <w:pPr>
        <w:pStyle w:val="14"/>
        <w:ind w:firstLine="6480" w:firstLineChars="900"/>
        <w:rPr>
          <w:rFonts w:hint="eastAsia"/>
          <w:color w:val="auto"/>
          <w:sz w:val="72"/>
          <w:szCs w:val="72"/>
          <w:highlight w:val="none"/>
          <w:lang w:val="en-US" w:eastAsia="zh-CN"/>
        </w:rPr>
      </w:pPr>
      <w:r>
        <w:rPr>
          <w:rFonts w:hint="eastAsia"/>
          <w:color w:val="auto"/>
          <w:sz w:val="72"/>
          <w:szCs w:val="72"/>
          <w:highlight w:val="none"/>
          <w:lang w:val="en-US" w:eastAsia="zh-CN"/>
        </w:rPr>
        <w:t>第二部分</w:t>
      </w:r>
    </w:p>
    <w:p>
      <w:pPr>
        <w:pStyle w:val="14"/>
        <w:rPr>
          <w:rFonts w:hint="eastAsia"/>
          <w:color w:val="auto"/>
          <w:sz w:val="72"/>
          <w:szCs w:val="72"/>
          <w:highlight w:val="none"/>
          <w:lang w:val="en-US" w:eastAsia="zh-CN"/>
        </w:rPr>
      </w:pPr>
    </w:p>
    <w:p>
      <w:pPr>
        <w:pStyle w:val="14"/>
        <w:ind w:firstLine="6480" w:firstLineChars="900"/>
        <w:rPr>
          <w:rFonts w:hint="eastAsia"/>
          <w:color w:val="auto"/>
          <w:sz w:val="72"/>
          <w:szCs w:val="72"/>
          <w:highlight w:val="none"/>
          <w:lang w:val="en-US" w:eastAsia="zh-CN"/>
        </w:rPr>
      </w:pPr>
      <w:r>
        <w:rPr>
          <w:rFonts w:hint="eastAsia"/>
          <w:color w:val="auto"/>
          <w:sz w:val="72"/>
          <w:szCs w:val="72"/>
          <w:highlight w:val="none"/>
          <w:lang w:val="en-US" w:eastAsia="zh-CN"/>
        </w:rPr>
        <w:t>部门决算表</w:t>
      </w:r>
    </w:p>
    <w:p>
      <w:pPr>
        <w:pStyle w:val="14"/>
        <w:ind w:firstLine="6720" w:firstLineChars="1200"/>
        <w:jc w:val="both"/>
        <w:rPr>
          <w:rFonts w:hint="default" w:eastAsia="黑体"/>
          <w:color w:val="auto"/>
          <w:sz w:val="56"/>
          <w:szCs w:val="56"/>
          <w:highlight w:val="none"/>
          <w:lang w:val="en-US" w:eastAsia="zh-CN"/>
        </w:rPr>
        <w:sectPr>
          <w:pgSz w:w="16838" w:h="11906" w:orient="landscape"/>
          <w:pgMar w:top="720" w:right="720" w:bottom="720" w:left="720" w:header="851" w:footer="992" w:gutter="0"/>
          <w:cols w:space="425" w:num="1"/>
          <w:docGrid w:type="lines" w:linePitch="312" w:charSpace="0"/>
        </w:sectPr>
      </w:pPr>
      <w:r>
        <w:rPr>
          <w:rFonts w:hint="eastAsia"/>
          <w:color w:val="auto"/>
          <w:sz w:val="56"/>
          <w:szCs w:val="56"/>
          <w:highlight w:val="none"/>
          <w:lang w:val="en-US" w:eastAsia="zh-CN"/>
        </w:rPr>
        <w:t>（见附件）</w:t>
      </w:r>
    </w:p>
    <w:p>
      <w:pPr>
        <w:pStyle w:val="14"/>
        <w:rPr>
          <w:color w:val="auto"/>
          <w:sz w:val="72"/>
          <w:szCs w:val="72"/>
          <w:highlight w:val="none"/>
        </w:rPr>
      </w:pPr>
    </w:p>
    <w:p>
      <w:pPr>
        <w:pStyle w:val="14"/>
        <w:rPr>
          <w:color w:val="auto"/>
          <w:sz w:val="72"/>
          <w:szCs w:val="72"/>
          <w:highlight w:val="none"/>
        </w:rPr>
      </w:pPr>
    </w:p>
    <w:p>
      <w:pPr>
        <w:pStyle w:val="14"/>
        <w:rPr>
          <w:color w:val="auto"/>
          <w:sz w:val="72"/>
          <w:szCs w:val="72"/>
          <w:highlight w:val="none"/>
        </w:rPr>
      </w:pPr>
    </w:p>
    <w:p>
      <w:pPr>
        <w:pStyle w:val="14"/>
        <w:rPr>
          <w:color w:val="auto"/>
          <w:sz w:val="72"/>
          <w:szCs w:val="72"/>
          <w:highlight w:val="none"/>
        </w:rPr>
      </w:pPr>
    </w:p>
    <w:p>
      <w:pPr>
        <w:pStyle w:val="14"/>
        <w:jc w:val="center"/>
        <w:rPr>
          <w:color w:val="auto"/>
          <w:sz w:val="72"/>
          <w:szCs w:val="72"/>
          <w:highlight w:val="none"/>
        </w:rPr>
      </w:pPr>
    </w:p>
    <w:p>
      <w:pPr>
        <w:pStyle w:val="14"/>
        <w:jc w:val="center"/>
        <w:rPr>
          <w:color w:val="auto"/>
          <w:sz w:val="72"/>
          <w:szCs w:val="72"/>
          <w:highlight w:val="none"/>
        </w:rPr>
      </w:pPr>
    </w:p>
    <w:p>
      <w:pPr>
        <w:pStyle w:val="14"/>
        <w:jc w:val="center"/>
        <w:rPr>
          <w:color w:val="auto"/>
          <w:sz w:val="72"/>
          <w:szCs w:val="72"/>
          <w:highlight w:val="none"/>
        </w:rPr>
      </w:pPr>
      <w:r>
        <w:rPr>
          <w:rFonts w:hint="eastAsia"/>
          <w:color w:val="auto"/>
          <w:sz w:val="72"/>
          <w:szCs w:val="72"/>
          <w:highlight w:val="none"/>
        </w:rPr>
        <w:t>第三部分</w:t>
      </w:r>
    </w:p>
    <w:p>
      <w:pPr>
        <w:pStyle w:val="14"/>
        <w:jc w:val="center"/>
        <w:rPr>
          <w:color w:val="auto"/>
          <w:sz w:val="70"/>
          <w:szCs w:val="70"/>
          <w:highlight w:val="none"/>
        </w:rPr>
      </w:pPr>
    </w:p>
    <w:p>
      <w:pPr>
        <w:pStyle w:val="14"/>
        <w:jc w:val="center"/>
        <w:rPr>
          <w:color w:val="auto"/>
          <w:sz w:val="70"/>
          <w:szCs w:val="70"/>
          <w:highlight w:val="none"/>
        </w:rPr>
      </w:pPr>
      <w:r>
        <w:rPr>
          <w:color w:val="auto"/>
          <w:sz w:val="70"/>
          <w:szCs w:val="70"/>
          <w:highlight w:val="none"/>
        </w:rPr>
        <w:t>20</w:t>
      </w:r>
      <w:r>
        <w:rPr>
          <w:rFonts w:hint="eastAsia"/>
          <w:color w:val="auto"/>
          <w:sz w:val="70"/>
          <w:szCs w:val="70"/>
          <w:highlight w:val="none"/>
          <w:lang w:val="en-US" w:eastAsia="zh-CN"/>
        </w:rPr>
        <w:t>21</w:t>
      </w:r>
      <w:r>
        <w:rPr>
          <w:rFonts w:hint="eastAsia"/>
          <w:color w:val="auto"/>
          <w:sz w:val="70"/>
          <w:szCs w:val="70"/>
          <w:highlight w:val="none"/>
        </w:rPr>
        <w:t>年度部门决算情况说明</w:t>
      </w:r>
    </w:p>
    <w:p>
      <w:pPr>
        <w:widowControl/>
        <w:jc w:val="left"/>
        <w:rPr>
          <w:rFonts w:ascii="黑体" w:eastAsia="黑体" w:cs="黑体"/>
          <w:color w:val="auto"/>
          <w:kern w:val="0"/>
          <w:sz w:val="70"/>
          <w:szCs w:val="70"/>
          <w:highlight w:val="none"/>
        </w:rPr>
      </w:pPr>
      <w:r>
        <w:rPr>
          <w:color w:val="auto"/>
          <w:sz w:val="70"/>
          <w:szCs w:val="70"/>
          <w:highlight w:val="none"/>
        </w:rPr>
        <w:br w:type="page"/>
      </w:r>
    </w:p>
    <w:p>
      <w:pPr>
        <w:pStyle w:val="14"/>
        <w:rPr>
          <w:rFonts w:asciiTheme="minorEastAsia" w:hAnsiTheme="minorEastAsia" w:eastAsiaTheme="minorEastAsia"/>
          <w:color w:val="auto"/>
          <w:sz w:val="32"/>
          <w:szCs w:val="32"/>
          <w:highlight w:val="none"/>
        </w:rPr>
      </w:pPr>
    </w:p>
    <w:p>
      <w:pPr>
        <w:pStyle w:val="14"/>
        <w:ind w:firstLine="640" w:firstLineChars="200"/>
        <w:rPr>
          <w:rFonts w:hAnsi="黑体"/>
          <w:b/>
          <w:color w:val="auto"/>
          <w:sz w:val="32"/>
          <w:szCs w:val="32"/>
          <w:highlight w:val="none"/>
        </w:rPr>
      </w:pPr>
      <w:r>
        <w:rPr>
          <w:rFonts w:hint="eastAsia" w:hAnsi="黑体"/>
          <w:b/>
          <w:color w:val="auto"/>
          <w:sz w:val="32"/>
          <w:szCs w:val="32"/>
          <w:highlight w:val="none"/>
        </w:rPr>
        <w:t>一、收入支出决算总体情况说明</w:t>
      </w:r>
    </w:p>
    <w:p>
      <w:pPr>
        <w:pStyle w:val="14"/>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color w:val="auto"/>
          <w:sz w:val="32"/>
          <w:szCs w:val="32"/>
          <w:highlight w:val="none"/>
        </w:rPr>
        <w:t>20</w:t>
      </w:r>
      <w:r>
        <w:rPr>
          <w:rFonts w:hint="eastAsia" w:asciiTheme="minorEastAsia" w:hAnsiTheme="minorEastAsia" w:eastAsiaTheme="minorEastAsia"/>
          <w:color w:val="auto"/>
          <w:sz w:val="32"/>
          <w:szCs w:val="32"/>
          <w:highlight w:val="none"/>
          <w:lang w:val="en-US" w:eastAsia="zh-CN"/>
        </w:rPr>
        <w:t>21</w:t>
      </w:r>
      <w:r>
        <w:rPr>
          <w:rFonts w:hint="eastAsia" w:asciiTheme="minorEastAsia" w:hAnsiTheme="minorEastAsia" w:eastAsiaTheme="minorEastAsia"/>
          <w:color w:val="auto"/>
          <w:sz w:val="32"/>
          <w:szCs w:val="32"/>
          <w:highlight w:val="none"/>
        </w:rPr>
        <w:t>年度收</w:t>
      </w:r>
      <w:r>
        <w:rPr>
          <w:rFonts w:hint="eastAsia" w:asciiTheme="minorEastAsia" w:hAnsiTheme="minorEastAsia" w:eastAsiaTheme="minorEastAsia"/>
          <w:color w:val="auto"/>
          <w:sz w:val="32"/>
          <w:szCs w:val="32"/>
          <w:highlight w:val="none"/>
          <w:lang w:eastAsia="zh-CN"/>
        </w:rPr>
        <w:t>、支</w:t>
      </w:r>
      <w:r>
        <w:rPr>
          <w:rFonts w:hint="eastAsia" w:asciiTheme="minorEastAsia" w:hAnsiTheme="minorEastAsia" w:eastAsiaTheme="minorEastAsia"/>
          <w:color w:val="auto"/>
          <w:sz w:val="32"/>
          <w:szCs w:val="32"/>
          <w:highlight w:val="none"/>
        </w:rPr>
        <w:t>总计</w:t>
      </w:r>
      <w:r>
        <w:rPr>
          <w:rFonts w:hint="eastAsia" w:asciiTheme="minorEastAsia" w:hAnsiTheme="minorEastAsia" w:eastAsiaTheme="minorEastAsia"/>
          <w:color w:val="auto"/>
          <w:sz w:val="32"/>
          <w:szCs w:val="32"/>
          <w:highlight w:val="none"/>
          <w:lang w:val="en-US" w:eastAsia="zh-CN"/>
        </w:rPr>
        <w:t>2965.73万元</w:t>
      </w:r>
      <w:r>
        <w:rPr>
          <w:rFonts w:hint="eastAsia" w:asciiTheme="minorEastAsia" w:hAnsiTheme="minorEastAsia" w:eastAsiaTheme="minorEastAsia"/>
          <w:color w:val="auto"/>
          <w:sz w:val="32"/>
          <w:szCs w:val="32"/>
          <w:highlight w:val="none"/>
        </w:rPr>
        <w:t>。与</w:t>
      </w:r>
      <w:r>
        <w:rPr>
          <w:rFonts w:hint="eastAsia" w:asciiTheme="minorEastAsia" w:hAnsiTheme="minorEastAsia" w:eastAsiaTheme="minorEastAsia"/>
          <w:color w:val="auto"/>
          <w:sz w:val="32"/>
          <w:szCs w:val="32"/>
          <w:highlight w:val="none"/>
          <w:lang w:eastAsia="zh-CN"/>
        </w:rPr>
        <w:t>上</w:t>
      </w:r>
      <w:r>
        <w:rPr>
          <w:rFonts w:hint="eastAsia" w:asciiTheme="minorEastAsia" w:hAnsiTheme="minorEastAsia" w:eastAsiaTheme="minorEastAsia"/>
          <w:color w:val="auto"/>
          <w:sz w:val="32"/>
          <w:szCs w:val="32"/>
          <w:highlight w:val="none"/>
        </w:rPr>
        <w:t>年相比，</w:t>
      </w:r>
      <w:r>
        <w:rPr>
          <w:rFonts w:hint="eastAsia" w:asciiTheme="minorEastAsia" w:hAnsiTheme="minorEastAsia" w:eastAsiaTheme="minorEastAsia"/>
          <w:color w:val="auto"/>
          <w:sz w:val="32"/>
          <w:szCs w:val="32"/>
          <w:highlight w:val="none"/>
          <w:lang w:eastAsia="zh-CN"/>
        </w:rPr>
        <w:t>减少</w:t>
      </w:r>
      <w:r>
        <w:rPr>
          <w:rFonts w:hint="eastAsia" w:asciiTheme="minorEastAsia" w:hAnsiTheme="minorEastAsia" w:eastAsiaTheme="minorEastAsia"/>
          <w:color w:val="auto"/>
          <w:sz w:val="32"/>
          <w:szCs w:val="32"/>
          <w:highlight w:val="none"/>
          <w:lang w:val="en-US" w:eastAsia="zh-CN"/>
        </w:rPr>
        <w:t>806.71</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减少</w:t>
      </w:r>
      <w:r>
        <w:rPr>
          <w:rFonts w:hint="eastAsia" w:asciiTheme="minorEastAsia" w:hAnsiTheme="minorEastAsia" w:eastAsiaTheme="minorEastAsia"/>
          <w:color w:val="auto"/>
          <w:sz w:val="32"/>
          <w:szCs w:val="32"/>
          <w:highlight w:val="none"/>
          <w:lang w:val="en-US" w:eastAsia="zh-CN"/>
        </w:rPr>
        <w:t>21.38</w:t>
      </w:r>
      <w:r>
        <w:rPr>
          <w:rFonts w:hint="eastAsia" w:asciiTheme="minorEastAsia" w:hAnsiTheme="minorEastAsia" w:eastAsiaTheme="minorEastAsia"/>
          <w:color w:val="auto"/>
          <w:sz w:val="32"/>
          <w:szCs w:val="32"/>
          <w:highlight w:val="none"/>
          <w:lang w:eastAsia="zh-CN"/>
        </w:rPr>
        <w:t>%，主要是按要求</w:t>
      </w:r>
      <w:r>
        <w:rPr>
          <w:rFonts w:hint="eastAsia" w:asciiTheme="minorEastAsia" w:hAnsiTheme="minorEastAsia" w:eastAsiaTheme="minorEastAsia"/>
          <w:color w:val="auto"/>
          <w:sz w:val="32"/>
          <w:szCs w:val="32"/>
          <w:highlight w:val="none"/>
          <w:lang w:val="en-US" w:eastAsia="zh-CN"/>
        </w:rPr>
        <w:t>2021年度</w:t>
      </w:r>
      <w:r>
        <w:rPr>
          <w:rFonts w:hint="eastAsia" w:asciiTheme="minorEastAsia" w:hAnsiTheme="minorEastAsia" w:eastAsiaTheme="minorEastAsia"/>
          <w:color w:val="auto"/>
          <w:sz w:val="32"/>
          <w:szCs w:val="32"/>
          <w:highlight w:val="none"/>
          <w:lang w:eastAsia="zh-CN"/>
        </w:rPr>
        <w:t>未使用的财政指标，年底不确认收入，不进行结转的账务处理。</w:t>
      </w:r>
    </w:p>
    <w:p>
      <w:pPr>
        <w:pStyle w:val="14"/>
        <w:ind w:firstLine="640" w:firstLineChars="200"/>
        <w:rPr>
          <w:rFonts w:hAnsi="黑体"/>
          <w:b/>
          <w:color w:val="auto"/>
          <w:sz w:val="32"/>
          <w:szCs w:val="32"/>
          <w:highlight w:val="none"/>
        </w:rPr>
      </w:pPr>
      <w:r>
        <w:rPr>
          <w:rFonts w:hint="eastAsia" w:hAnsi="黑体"/>
          <w:b/>
          <w:color w:val="auto"/>
          <w:sz w:val="32"/>
          <w:szCs w:val="32"/>
          <w:highlight w:val="none"/>
        </w:rPr>
        <w:t>二、收入决算情况说明</w:t>
      </w:r>
    </w:p>
    <w:p>
      <w:pPr>
        <w:pStyle w:val="14"/>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本年收入合计</w:t>
      </w:r>
      <w:r>
        <w:rPr>
          <w:rFonts w:hint="eastAsia" w:asciiTheme="minorEastAsia" w:hAnsiTheme="minorEastAsia" w:eastAsiaTheme="minorEastAsia"/>
          <w:color w:val="auto"/>
          <w:sz w:val="32"/>
          <w:szCs w:val="32"/>
          <w:highlight w:val="none"/>
          <w:lang w:val="en-US" w:eastAsia="zh-CN"/>
        </w:rPr>
        <w:t>2119.13</w:t>
      </w:r>
      <w:r>
        <w:rPr>
          <w:rFonts w:hint="eastAsia" w:asciiTheme="minorEastAsia" w:hAnsiTheme="minorEastAsia" w:eastAsiaTheme="minorEastAsia"/>
          <w:color w:val="auto"/>
          <w:sz w:val="32"/>
          <w:szCs w:val="32"/>
          <w:highlight w:val="none"/>
        </w:rPr>
        <w:t>万元，其中：财政拨款收入</w:t>
      </w:r>
      <w:r>
        <w:rPr>
          <w:rFonts w:hint="eastAsia" w:asciiTheme="minorEastAsia" w:hAnsiTheme="minorEastAsia" w:eastAsiaTheme="minorEastAsia"/>
          <w:color w:val="auto"/>
          <w:sz w:val="32"/>
          <w:szCs w:val="32"/>
          <w:highlight w:val="none"/>
          <w:lang w:val="en-US" w:eastAsia="zh-CN"/>
        </w:rPr>
        <w:t>2119.13</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100</w:t>
      </w:r>
      <w:r>
        <w:rPr>
          <w:rFonts w:hint="eastAsia" w:asciiTheme="minorEastAsia" w:hAnsiTheme="minorEastAsia" w:eastAsiaTheme="minorEastAsia"/>
          <w:color w:val="auto"/>
          <w:sz w:val="32"/>
          <w:szCs w:val="32"/>
          <w:highlight w:val="none"/>
        </w:rPr>
        <w:t>%；上级补助收入</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%；事业收入</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%；经营收入</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%；附属单位上缴收入</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%；其他收入</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w:t>
      </w:r>
    </w:p>
    <w:p>
      <w:pPr>
        <w:pStyle w:val="14"/>
        <w:ind w:firstLine="640" w:firstLineChars="200"/>
        <w:rPr>
          <w:rFonts w:hAnsi="黑体"/>
          <w:b/>
          <w:color w:val="auto"/>
          <w:sz w:val="32"/>
          <w:szCs w:val="32"/>
          <w:highlight w:val="none"/>
        </w:rPr>
      </w:pPr>
      <w:r>
        <w:rPr>
          <w:rFonts w:hint="eastAsia" w:hAnsi="黑体"/>
          <w:b/>
          <w:color w:val="auto"/>
          <w:sz w:val="32"/>
          <w:szCs w:val="32"/>
          <w:highlight w:val="none"/>
        </w:rPr>
        <w:t>三、支出决算情况说明</w:t>
      </w:r>
    </w:p>
    <w:p>
      <w:pPr>
        <w:pStyle w:val="14"/>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本年支出合计</w:t>
      </w:r>
      <w:r>
        <w:rPr>
          <w:rFonts w:hint="eastAsia" w:asciiTheme="minorEastAsia" w:hAnsiTheme="minorEastAsia" w:eastAsiaTheme="minorEastAsia"/>
          <w:color w:val="auto"/>
          <w:sz w:val="32"/>
          <w:szCs w:val="32"/>
          <w:highlight w:val="none"/>
          <w:lang w:val="en-US" w:eastAsia="zh-CN"/>
        </w:rPr>
        <w:t>2965.73</w:t>
      </w:r>
      <w:r>
        <w:rPr>
          <w:rFonts w:hint="eastAsia" w:asciiTheme="minorEastAsia" w:hAnsiTheme="minorEastAsia" w:eastAsiaTheme="minorEastAsia"/>
          <w:color w:val="auto"/>
          <w:sz w:val="32"/>
          <w:szCs w:val="32"/>
          <w:highlight w:val="none"/>
        </w:rPr>
        <w:t>万元，其中：基本支出</w:t>
      </w:r>
      <w:r>
        <w:rPr>
          <w:rFonts w:hint="eastAsia" w:asciiTheme="minorEastAsia" w:hAnsiTheme="minorEastAsia" w:eastAsiaTheme="minorEastAsia"/>
          <w:color w:val="auto"/>
          <w:sz w:val="32"/>
          <w:szCs w:val="32"/>
          <w:highlight w:val="none"/>
          <w:lang w:val="en-US" w:eastAsia="zh-CN"/>
        </w:rPr>
        <w:t>2078.62</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70.09</w:t>
      </w:r>
      <w:r>
        <w:rPr>
          <w:rFonts w:hint="eastAsia" w:asciiTheme="minorEastAsia" w:hAnsiTheme="minorEastAsia" w:eastAsiaTheme="minorEastAsia"/>
          <w:color w:val="auto"/>
          <w:sz w:val="32"/>
          <w:szCs w:val="32"/>
          <w:highlight w:val="none"/>
        </w:rPr>
        <w:t>%；项目支出</w:t>
      </w:r>
      <w:r>
        <w:rPr>
          <w:rFonts w:hint="eastAsia" w:asciiTheme="minorEastAsia" w:hAnsiTheme="minorEastAsia" w:eastAsiaTheme="minorEastAsia"/>
          <w:color w:val="auto"/>
          <w:sz w:val="32"/>
          <w:szCs w:val="32"/>
          <w:highlight w:val="none"/>
          <w:lang w:val="en-US" w:eastAsia="zh-CN"/>
        </w:rPr>
        <w:t>887.11</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29.91</w:t>
      </w:r>
      <w:r>
        <w:rPr>
          <w:rFonts w:hint="eastAsia" w:asciiTheme="minorEastAsia" w:hAnsiTheme="minorEastAsia" w:eastAsiaTheme="minorEastAsia"/>
          <w:color w:val="auto"/>
          <w:sz w:val="32"/>
          <w:szCs w:val="32"/>
          <w:highlight w:val="none"/>
        </w:rPr>
        <w:t>%；上缴上级支出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%；经营支出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%；对附属单位补助支出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w:t>
      </w:r>
    </w:p>
    <w:p>
      <w:pPr>
        <w:pStyle w:val="14"/>
        <w:ind w:firstLine="640" w:firstLineChars="200"/>
        <w:rPr>
          <w:rFonts w:hAnsi="黑体"/>
          <w:b/>
          <w:color w:val="auto"/>
          <w:sz w:val="32"/>
          <w:szCs w:val="32"/>
          <w:highlight w:val="none"/>
        </w:rPr>
      </w:pPr>
      <w:r>
        <w:rPr>
          <w:rFonts w:hint="eastAsia" w:hAnsi="黑体"/>
          <w:b/>
          <w:color w:val="auto"/>
          <w:sz w:val="32"/>
          <w:szCs w:val="32"/>
          <w:highlight w:val="none"/>
        </w:rPr>
        <w:t>四、财政拨款收入支出决算总体情况说明</w:t>
      </w:r>
    </w:p>
    <w:p>
      <w:pPr>
        <w:pStyle w:val="14"/>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color w:val="auto"/>
          <w:sz w:val="32"/>
          <w:szCs w:val="32"/>
          <w:highlight w:val="none"/>
        </w:rPr>
        <w:t>20</w:t>
      </w:r>
      <w:r>
        <w:rPr>
          <w:rFonts w:hint="eastAsia" w:asciiTheme="minorEastAsia" w:hAnsiTheme="minorEastAsia" w:eastAsiaTheme="minorEastAsia"/>
          <w:color w:val="auto"/>
          <w:sz w:val="32"/>
          <w:szCs w:val="32"/>
          <w:highlight w:val="none"/>
          <w:lang w:val="en-US" w:eastAsia="zh-CN"/>
        </w:rPr>
        <w:t>21</w:t>
      </w:r>
      <w:r>
        <w:rPr>
          <w:rFonts w:hint="eastAsia" w:asciiTheme="minorEastAsia" w:hAnsiTheme="minorEastAsia" w:eastAsiaTheme="minorEastAsia"/>
          <w:color w:val="auto"/>
          <w:sz w:val="32"/>
          <w:szCs w:val="32"/>
          <w:highlight w:val="none"/>
        </w:rPr>
        <w:t>年度财政拨款收、支总计</w:t>
      </w:r>
      <w:r>
        <w:rPr>
          <w:rFonts w:hint="eastAsia" w:asciiTheme="minorEastAsia" w:hAnsiTheme="minorEastAsia" w:eastAsiaTheme="minorEastAsia"/>
          <w:color w:val="auto"/>
          <w:sz w:val="32"/>
          <w:szCs w:val="32"/>
          <w:highlight w:val="none"/>
          <w:lang w:val="en-US" w:eastAsia="zh-CN"/>
        </w:rPr>
        <w:t>2965.73万元</w:t>
      </w:r>
      <w:r>
        <w:rPr>
          <w:rFonts w:hint="eastAsia" w:asciiTheme="minorEastAsia" w:hAnsiTheme="minorEastAsia" w:eastAsiaTheme="minorEastAsia"/>
          <w:color w:val="auto"/>
          <w:sz w:val="32"/>
          <w:szCs w:val="32"/>
          <w:highlight w:val="none"/>
        </w:rPr>
        <w:t>。与</w:t>
      </w:r>
      <w:r>
        <w:rPr>
          <w:rFonts w:hint="eastAsia" w:asciiTheme="minorEastAsia" w:hAnsiTheme="minorEastAsia" w:eastAsiaTheme="minorEastAsia"/>
          <w:color w:val="auto"/>
          <w:sz w:val="32"/>
          <w:szCs w:val="32"/>
          <w:highlight w:val="none"/>
          <w:lang w:eastAsia="zh-CN"/>
        </w:rPr>
        <w:t>上</w:t>
      </w:r>
      <w:r>
        <w:rPr>
          <w:rFonts w:hint="eastAsia" w:asciiTheme="minorEastAsia" w:hAnsiTheme="minorEastAsia" w:eastAsiaTheme="minorEastAsia"/>
          <w:color w:val="auto"/>
          <w:sz w:val="32"/>
          <w:szCs w:val="32"/>
          <w:highlight w:val="none"/>
        </w:rPr>
        <w:t>年相比，</w:t>
      </w:r>
      <w:r>
        <w:rPr>
          <w:rFonts w:hint="eastAsia" w:asciiTheme="minorEastAsia" w:hAnsiTheme="minorEastAsia" w:eastAsiaTheme="minorEastAsia"/>
          <w:color w:val="auto"/>
          <w:sz w:val="32"/>
          <w:szCs w:val="32"/>
          <w:highlight w:val="none"/>
          <w:lang w:eastAsia="zh-CN"/>
        </w:rPr>
        <w:t>减少</w:t>
      </w:r>
      <w:r>
        <w:rPr>
          <w:rFonts w:hint="eastAsia" w:asciiTheme="minorEastAsia" w:hAnsiTheme="minorEastAsia" w:eastAsiaTheme="minorEastAsia"/>
          <w:color w:val="auto"/>
          <w:sz w:val="32"/>
          <w:szCs w:val="32"/>
          <w:highlight w:val="none"/>
          <w:lang w:val="en-US" w:eastAsia="zh-CN"/>
        </w:rPr>
        <w:t>806.71</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减少</w:t>
      </w:r>
      <w:r>
        <w:rPr>
          <w:rFonts w:hint="eastAsia" w:asciiTheme="minorEastAsia" w:hAnsiTheme="minorEastAsia" w:eastAsiaTheme="minorEastAsia"/>
          <w:color w:val="auto"/>
          <w:sz w:val="32"/>
          <w:szCs w:val="32"/>
          <w:highlight w:val="none"/>
          <w:lang w:val="en-US" w:eastAsia="zh-CN"/>
        </w:rPr>
        <w:t>21.38</w:t>
      </w:r>
      <w:r>
        <w:rPr>
          <w:rFonts w:hint="eastAsia" w:asciiTheme="minorEastAsia" w:hAnsiTheme="minorEastAsia" w:eastAsiaTheme="minorEastAsia"/>
          <w:color w:val="auto"/>
          <w:sz w:val="32"/>
          <w:szCs w:val="32"/>
          <w:highlight w:val="none"/>
          <w:lang w:eastAsia="zh-CN"/>
        </w:rPr>
        <w:t>%，主要是按要求</w:t>
      </w:r>
      <w:r>
        <w:rPr>
          <w:rFonts w:hint="eastAsia" w:asciiTheme="minorEastAsia" w:hAnsiTheme="minorEastAsia" w:eastAsiaTheme="minorEastAsia"/>
          <w:color w:val="auto"/>
          <w:sz w:val="32"/>
          <w:szCs w:val="32"/>
          <w:highlight w:val="none"/>
          <w:lang w:val="en-US" w:eastAsia="zh-CN"/>
        </w:rPr>
        <w:t>2021年度</w:t>
      </w:r>
      <w:r>
        <w:rPr>
          <w:rFonts w:hint="eastAsia" w:asciiTheme="minorEastAsia" w:hAnsiTheme="minorEastAsia" w:eastAsiaTheme="minorEastAsia"/>
          <w:color w:val="auto"/>
          <w:sz w:val="32"/>
          <w:szCs w:val="32"/>
          <w:highlight w:val="none"/>
          <w:lang w:eastAsia="zh-CN"/>
        </w:rPr>
        <w:t>未使用的财政指标，年底不确认收入，不进行结转的账务处理。</w:t>
      </w:r>
    </w:p>
    <w:p>
      <w:pPr>
        <w:pStyle w:val="14"/>
        <w:ind w:firstLine="640"/>
        <w:rPr>
          <w:rFonts w:hAnsi="黑体"/>
          <w:b/>
          <w:color w:val="auto"/>
          <w:sz w:val="32"/>
          <w:szCs w:val="32"/>
          <w:highlight w:val="none"/>
        </w:rPr>
      </w:pPr>
      <w:r>
        <w:rPr>
          <w:rFonts w:hint="eastAsia" w:hAnsi="黑体"/>
          <w:b/>
          <w:color w:val="auto"/>
          <w:sz w:val="32"/>
          <w:szCs w:val="32"/>
          <w:highlight w:val="none"/>
        </w:rPr>
        <w:t>五、一般公共预算财政拨款支出决算情况说明</w:t>
      </w:r>
    </w:p>
    <w:p>
      <w:pPr>
        <w:pStyle w:val="14"/>
        <w:ind w:firstLine="640" w:firstLineChars="200"/>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t>（一）财政拨款支出决算总体情况</w:t>
      </w:r>
    </w:p>
    <w:p>
      <w:pPr>
        <w:pStyle w:val="14"/>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color w:val="auto"/>
          <w:sz w:val="32"/>
          <w:szCs w:val="32"/>
          <w:highlight w:val="none"/>
        </w:rPr>
        <w:t>20</w:t>
      </w:r>
      <w:r>
        <w:rPr>
          <w:rFonts w:hint="eastAsia" w:asciiTheme="minorEastAsia" w:hAnsiTheme="minorEastAsia" w:eastAsiaTheme="minorEastAsia"/>
          <w:color w:val="auto"/>
          <w:sz w:val="32"/>
          <w:szCs w:val="32"/>
          <w:highlight w:val="none"/>
          <w:lang w:val="en-US" w:eastAsia="zh-CN"/>
        </w:rPr>
        <w:t>21</w:t>
      </w:r>
      <w:r>
        <w:rPr>
          <w:rFonts w:hint="eastAsia" w:asciiTheme="minorEastAsia" w:hAnsiTheme="minorEastAsia" w:eastAsiaTheme="minorEastAsia"/>
          <w:color w:val="auto"/>
          <w:sz w:val="32"/>
          <w:szCs w:val="32"/>
          <w:highlight w:val="none"/>
        </w:rPr>
        <w:t>年度财政拨款支出</w:t>
      </w:r>
      <w:r>
        <w:rPr>
          <w:rFonts w:hint="eastAsia" w:asciiTheme="minorEastAsia" w:hAnsiTheme="minorEastAsia" w:eastAsiaTheme="minorEastAsia"/>
          <w:color w:val="auto"/>
          <w:sz w:val="32"/>
          <w:szCs w:val="32"/>
          <w:highlight w:val="none"/>
          <w:lang w:val="en-US" w:eastAsia="zh-CN"/>
        </w:rPr>
        <w:t>2965.73</w:t>
      </w:r>
      <w:r>
        <w:rPr>
          <w:rFonts w:hint="eastAsia" w:asciiTheme="minorEastAsia" w:hAnsiTheme="minorEastAsia" w:eastAsiaTheme="minorEastAsia"/>
          <w:color w:val="auto"/>
          <w:sz w:val="32"/>
          <w:szCs w:val="32"/>
          <w:highlight w:val="none"/>
        </w:rPr>
        <w:t>万元，占本年支出合计的</w:t>
      </w:r>
      <w:r>
        <w:rPr>
          <w:rFonts w:hint="eastAsia" w:asciiTheme="minorEastAsia" w:hAnsiTheme="minorEastAsia" w:eastAsiaTheme="minorEastAsia"/>
          <w:color w:val="auto"/>
          <w:sz w:val="32"/>
          <w:szCs w:val="32"/>
          <w:highlight w:val="none"/>
          <w:lang w:val="en-US" w:eastAsia="zh-CN"/>
        </w:rPr>
        <w:t>100</w:t>
      </w:r>
      <w:r>
        <w:rPr>
          <w:rFonts w:hint="eastAsia" w:asciiTheme="minorEastAsia" w:hAnsiTheme="minorEastAsia" w:eastAsiaTheme="minorEastAsia"/>
          <w:color w:val="auto"/>
          <w:sz w:val="32"/>
          <w:szCs w:val="32"/>
          <w:highlight w:val="none"/>
        </w:rPr>
        <w:t>%，与</w:t>
      </w:r>
      <w:r>
        <w:rPr>
          <w:rFonts w:hint="eastAsia" w:asciiTheme="minorEastAsia" w:hAnsiTheme="minorEastAsia" w:eastAsiaTheme="minorEastAsia"/>
          <w:color w:val="auto"/>
          <w:sz w:val="32"/>
          <w:szCs w:val="32"/>
          <w:highlight w:val="none"/>
          <w:lang w:eastAsia="zh-CN"/>
        </w:rPr>
        <w:t>上</w:t>
      </w:r>
      <w:r>
        <w:rPr>
          <w:rFonts w:hint="eastAsia" w:asciiTheme="minorEastAsia" w:hAnsiTheme="minorEastAsia" w:eastAsiaTheme="minorEastAsia"/>
          <w:color w:val="auto"/>
          <w:sz w:val="32"/>
          <w:szCs w:val="32"/>
          <w:highlight w:val="none"/>
        </w:rPr>
        <w:t>年相比，财政拨款支出</w:t>
      </w:r>
      <w:r>
        <w:rPr>
          <w:rFonts w:hint="eastAsia" w:asciiTheme="minorEastAsia" w:hAnsiTheme="minorEastAsia" w:eastAsiaTheme="minorEastAsia"/>
          <w:color w:val="auto"/>
          <w:sz w:val="32"/>
          <w:szCs w:val="32"/>
          <w:highlight w:val="none"/>
          <w:lang w:eastAsia="zh-CN"/>
        </w:rPr>
        <w:t>增加</w:t>
      </w:r>
      <w:r>
        <w:rPr>
          <w:rFonts w:hint="eastAsia" w:asciiTheme="minorEastAsia" w:hAnsiTheme="minorEastAsia" w:eastAsiaTheme="minorEastAsia"/>
          <w:color w:val="auto"/>
          <w:sz w:val="32"/>
          <w:szCs w:val="32"/>
          <w:highlight w:val="none"/>
          <w:lang w:val="en-US" w:eastAsia="zh-CN"/>
        </w:rPr>
        <w:t>40.89</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上涨</w:t>
      </w:r>
      <w:r>
        <w:rPr>
          <w:rFonts w:hint="eastAsia" w:asciiTheme="minorEastAsia" w:hAnsiTheme="minorEastAsia" w:eastAsiaTheme="minorEastAsia"/>
          <w:color w:val="auto"/>
          <w:sz w:val="32"/>
          <w:szCs w:val="32"/>
          <w:highlight w:val="none"/>
          <w:lang w:val="en-US" w:eastAsia="zh-CN"/>
        </w:rPr>
        <w:t>1.39</w:t>
      </w:r>
      <w:r>
        <w:rPr>
          <w:rFonts w:hint="eastAsia" w:asciiTheme="minorEastAsia" w:hAnsiTheme="minorEastAsia" w:eastAsiaTheme="minorEastAsia"/>
          <w:color w:val="auto"/>
          <w:sz w:val="32"/>
          <w:szCs w:val="32"/>
          <w:highlight w:val="none"/>
          <w:lang w:eastAsia="zh-CN"/>
        </w:rPr>
        <w:t>%，主要原因是受疫情防控工作影响，卫生健康</w:t>
      </w:r>
      <w:r>
        <w:rPr>
          <w:rFonts w:hint="eastAsia" w:asciiTheme="minorEastAsia" w:hAnsiTheme="minorEastAsia" w:eastAsiaTheme="minorEastAsia"/>
          <w:color w:val="auto"/>
          <w:sz w:val="32"/>
          <w:szCs w:val="32"/>
          <w:highlight w:val="none"/>
          <w:lang w:val="en-US" w:eastAsia="zh-CN"/>
        </w:rPr>
        <w:t>支出增加。</w:t>
      </w:r>
    </w:p>
    <w:p>
      <w:pPr>
        <w:pStyle w:val="14"/>
        <w:ind w:firstLine="640" w:firstLineChars="200"/>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t>（二）财政拨款支出决算结构情况</w:t>
      </w:r>
    </w:p>
    <w:p>
      <w:pPr>
        <w:pStyle w:val="14"/>
        <w:ind w:firstLine="640" w:firstLineChars="200"/>
        <w:rPr>
          <w:rFonts w:hint="default" w:asciiTheme="minorEastAsia" w:hAnsiTheme="minorEastAsia" w:eastAsiaTheme="minorEastAsia"/>
          <w:color w:val="auto"/>
          <w:sz w:val="32"/>
          <w:szCs w:val="32"/>
          <w:highlight w:val="none"/>
          <w:lang w:val="en-US"/>
        </w:rPr>
      </w:pPr>
      <w:r>
        <w:rPr>
          <w:rFonts w:hint="eastAsia" w:asciiTheme="minorEastAsia" w:hAnsiTheme="minorEastAsia" w:eastAsiaTheme="minorEastAsia"/>
          <w:color w:val="auto"/>
          <w:sz w:val="32"/>
          <w:szCs w:val="32"/>
          <w:highlight w:val="none"/>
        </w:rPr>
        <w:t>20</w:t>
      </w:r>
      <w:r>
        <w:rPr>
          <w:rFonts w:hint="eastAsia" w:asciiTheme="minorEastAsia" w:hAnsiTheme="minorEastAsia" w:eastAsiaTheme="minorEastAsia"/>
          <w:color w:val="auto"/>
          <w:sz w:val="32"/>
          <w:szCs w:val="32"/>
          <w:highlight w:val="none"/>
          <w:lang w:val="en-US" w:eastAsia="zh-CN"/>
        </w:rPr>
        <w:t>21</w:t>
      </w:r>
      <w:r>
        <w:rPr>
          <w:rFonts w:hint="eastAsia" w:asciiTheme="minorEastAsia" w:hAnsiTheme="minorEastAsia" w:eastAsiaTheme="minorEastAsia"/>
          <w:color w:val="auto"/>
          <w:sz w:val="32"/>
          <w:szCs w:val="32"/>
          <w:highlight w:val="none"/>
        </w:rPr>
        <w:t>年度财政拨款支出</w:t>
      </w:r>
      <w:r>
        <w:rPr>
          <w:rFonts w:hint="eastAsia" w:asciiTheme="minorEastAsia" w:hAnsiTheme="minorEastAsia" w:eastAsiaTheme="minorEastAsia"/>
          <w:color w:val="auto"/>
          <w:sz w:val="32"/>
          <w:szCs w:val="32"/>
          <w:highlight w:val="none"/>
          <w:lang w:val="en-US" w:eastAsia="zh-CN"/>
        </w:rPr>
        <w:t>2965.73</w:t>
      </w:r>
      <w:r>
        <w:rPr>
          <w:rFonts w:hint="eastAsia" w:asciiTheme="minorEastAsia" w:hAnsiTheme="minorEastAsia" w:eastAsiaTheme="minorEastAsia"/>
          <w:color w:val="auto"/>
          <w:sz w:val="32"/>
          <w:szCs w:val="32"/>
          <w:highlight w:val="none"/>
        </w:rPr>
        <w:t>万元，主要用于以下方面：一般公共服务（类）支出</w:t>
      </w:r>
      <w:r>
        <w:rPr>
          <w:rFonts w:hint="eastAsia" w:asciiTheme="minorEastAsia" w:hAnsiTheme="minorEastAsia" w:eastAsiaTheme="minorEastAsia"/>
          <w:color w:val="auto"/>
          <w:sz w:val="32"/>
          <w:szCs w:val="32"/>
          <w:highlight w:val="none"/>
          <w:lang w:val="en-US" w:eastAsia="zh-CN"/>
        </w:rPr>
        <w:t>3.6</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0.12</w:t>
      </w:r>
      <w:r>
        <w:rPr>
          <w:rFonts w:hint="eastAsia" w:asciiTheme="minorEastAsia" w:hAnsiTheme="minorEastAsia" w:eastAsiaTheme="minorEastAsia"/>
          <w:color w:val="auto"/>
          <w:sz w:val="32"/>
          <w:szCs w:val="32"/>
          <w:highlight w:val="none"/>
        </w:rPr>
        <w:t>%；</w:t>
      </w:r>
      <w:r>
        <w:rPr>
          <w:rFonts w:hint="eastAsia" w:asciiTheme="minorEastAsia" w:hAnsiTheme="minorEastAsia" w:eastAsiaTheme="minorEastAsia"/>
          <w:color w:val="auto"/>
          <w:sz w:val="32"/>
          <w:szCs w:val="32"/>
          <w:highlight w:val="none"/>
          <w:lang w:val="en-US" w:eastAsia="zh-CN"/>
        </w:rPr>
        <w:t>社会保障和就业支出238.92万元,占8.06%;卫生健康支出2723.21万元,占91.82%。</w:t>
      </w:r>
    </w:p>
    <w:p>
      <w:pPr>
        <w:pStyle w:val="14"/>
        <w:ind w:firstLine="800" w:firstLineChars="250"/>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t>（三）财政拨款支出决算具体情况</w:t>
      </w:r>
    </w:p>
    <w:p>
      <w:pPr>
        <w:pStyle w:val="14"/>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20</w:t>
      </w:r>
      <w:r>
        <w:rPr>
          <w:rFonts w:hint="eastAsia" w:asciiTheme="minorEastAsia" w:hAnsiTheme="minorEastAsia" w:eastAsiaTheme="minorEastAsia"/>
          <w:color w:val="auto"/>
          <w:sz w:val="32"/>
          <w:szCs w:val="32"/>
          <w:highlight w:val="none"/>
          <w:lang w:val="en-US" w:eastAsia="zh-CN"/>
        </w:rPr>
        <w:t>21</w:t>
      </w:r>
      <w:r>
        <w:rPr>
          <w:rFonts w:hint="eastAsia" w:asciiTheme="minorEastAsia" w:hAnsiTheme="minorEastAsia" w:eastAsiaTheme="minorEastAsia"/>
          <w:color w:val="auto"/>
          <w:sz w:val="32"/>
          <w:szCs w:val="32"/>
          <w:highlight w:val="none"/>
        </w:rPr>
        <w:t>年度财政拨款支出年初预算数为</w:t>
      </w:r>
      <w:r>
        <w:rPr>
          <w:rFonts w:hint="eastAsia" w:asciiTheme="minorEastAsia" w:hAnsiTheme="minorEastAsia" w:eastAsiaTheme="minorEastAsia"/>
          <w:color w:val="auto"/>
          <w:sz w:val="32"/>
          <w:szCs w:val="32"/>
          <w:highlight w:val="none"/>
          <w:lang w:val="en-US" w:eastAsia="zh-CN"/>
        </w:rPr>
        <w:t>1211.9</w:t>
      </w:r>
      <w:r>
        <w:rPr>
          <w:rFonts w:hint="eastAsia" w:asciiTheme="minorEastAsia" w:hAnsiTheme="minorEastAsia" w:eastAsiaTheme="minorEastAsia"/>
          <w:color w:val="auto"/>
          <w:sz w:val="32"/>
          <w:szCs w:val="32"/>
          <w:highlight w:val="none"/>
        </w:rPr>
        <w:t>万元，支出决算数为</w:t>
      </w:r>
      <w:r>
        <w:rPr>
          <w:rFonts w:hint="eastAsia" w:asciiTheme="minorEastAsia" w:hAnsiTheme="minorEastAsia" w:eastAsiaTheme="minorEastAsia"/>
          <w:color w:val="auto"/>
          <w:sz w:val="32"/>
          <w:szCs w:val="32"/>
          <w:highlight w:val="none"/>
          <w:lang w:val="en-US" w:eastAsia="zh-CN"/>
        </w:rPr>
        <w:t>2965.73</w:t>
      </w:r>
      <w:r>
        <w:rPr>
          <w:rFonts w:hint="eastAsia" w:asciiTheme="minorEastAsia" w:hAnsiTheme="minorEastAsia" w:eastAsiaTheme="minorEastAsia"/>
          <w:color w:val="auto"/>
          <w:sz w:val="32"/>
          <w:szCs w:val="32"/>
          <w:highlight w:val="none"/>
        </w:rPr>
        <w:t>万元，完成年初预算的</w:t>
      </w:r>
      <w:r>
        <w:rPr>
          <w:rFonts w:hint="eastAsia" w:asciiTheme="minorEastAsia" w:hAnsiTheme="minorEastAsia" w:eastAsiaTheme="minorEastAsia"/>
          <w:color w:val="auto"/>
          <w:sz w:val="32"/>
          <w:szCs w:val="32"/>
          <w:highlight w:val="none"/>
          <w:lang w:val="en-US" w:eastAsia="zh-CN"/>
        </w:rPr>
        <w:t>244.71</w:t>
      </w:r>
      <w:r>
        <w:rPr>
          <w:rFonts w:hint="eastAsia" w:asciiTheme="minorEastAsia" w:hAnsiTheme="minorEastAsia" w:eastAsiaTheme="minorEastAsia"/>
          <w:color w:val="auto"/>
          <w:sz w:val="32"/>
          <w:szCs w:val="32"/>
          <w:highlight w:val="none"/>
        </w:rPr>
        <w:t>%，其中：</w:t>
      </w:r>
    </w:p>
    <w:p>
      <w:pPr>
        <w:pStyle w:val="14"/>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1、一般公共服务</w:t>
      </w:r>
      <w:r>
        <w:rPr>
          <w:rFonts w:hint="eastAsia" w:asciiTheme="minorEastAsia" w:hAnsiTheme="minorEastAsia" w:eastAsiaTheme="minorEastAsia"/>
          <w:color w:val="auto"/>
          <w:sz w:val="32"/>
          <w:szCs w:val="32"/>
          <w:highlight w:val="none"/>
          <w:lang w:eastAsia="zh-CN"/>
        </w:rPr>
        <w:t>支出</w:t>
      </w:r>
      <w:r>
        <w:rPr>
          <w:rFonts w:hint="eastAsia" w:asciiTheme="minorEastAsia" w:hAnsiTheme="minorEastAsia" w:eastAsiaTheme="minorEastAsia"/>
          <w:color w:val="auto"/>
          <w:sz w:val="32"/>
          <w:szCs w:val="32"/>
          <w:highlight w:val="none"/>
        </w:rPr>
        <w:t>（类）</w:t>
      </w:r>
      <w:r>
        <w:rPr>
          <w:rFonts w:hint="eastAsia" w:asciiTheme="minorEastAsia" w:hAnsiTheme="minorEastAsia" w:eastAsiaTheme="minorEastAsia"/>
          <w:color w:val="auto"/>
          <w:sz w:val="32"/>
          <w:szCs w:val="32"/>
          <w:highlight w:val="none"/>
          <w:lang w:eastAsia="zh-CN"/>
        </w:rPr>
        <w:t>宣传事务</w:t>
      </w:r>
      <w:r>
        <w:rPr>
          <w:rFonts w:hint="eastAsia" w:asciiTheme="minorEastAsia" w:hAnsiTheme="minorEastAsia" w:eastAsiaTheme="minorEastAsia"/>
          <w:color w:val="auto"/>
          <w:sz w:val="32"/>
          <w:szCs w:val="32"/>
          <w:highlight w:val="none"/>
        </w:rPr>
        <w:t>（款</w:t>
      </w:r>
      <w:r>
        <w:rPr>
          <w:rFonts w:hint="eastAsia" w:asciiTheme="minorEastAsia" w:hAnsiTheme="minorEastAsia" w:eastAsiaTheme="minorEastAsia"/>
          <w:color w:val="auto"/>
          <w:sz w:val="32"/>
          <w:szCs w:val="32"/>
          <w:highlight w:val="none"/>
          <w:lang w:eastAsia="zh-CN"/>
        </w:rPr>
        <w:t>）</w:t>
      </w:r>
      <w:r>
        <w:rPr>
          <w:rFonts w:hint="eastAsia" w:asciiTheme="minorEastAsia" w:hAnsiTheme="minorEastAsia" w:eastAsiaTheme="minorEastAsia"/>
          <w:color w:val="auto"/>
          <w:sz w:val="32"/>
          <w:szCs w:val="32"/>
          <w:highlight w:val="none"/>
        </w:rPr>
        <w:t>其他宣传事务支出（项）。</w:t>
      </w:r>
    </w:p>
    <w:p>
      <w:pPr>
        <w:pStyle w:val="14"/>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color w:val="auto"/>
          <w:sz w:val="32"/>
          <w:szCs w:val="32"/>
          <w:highlight w:val="none"/>
          <w:lang w:eastAsia="zh-CN"/>
        </w:rPr>
        <w:t>年初预算为</w:t>
      </w:r>
      <w:r>
        <w:rPr>
          <w:rFonts w:hint="eastAsia" w:asciiTheme="minorEastAsia" w:hAnsiTheme="minorEastAsia" w:eastAsiaTheme="minorEastAsia"/>
          <w:color w:val="auto"/>
          <w:sz w:val="32"/>
          <w:szCs w:val="32"/>
          <w:highlight w:val="none"/>
          <w:lang w:val="en-US" w:eastAsia="zh-CN"/>
        </w:rPr>
        <w:t>0万元，</w:t>
      </w:r>
      <w:r>
        <w:rPr>
          <w:rFonts w:hint="eastAsia" w:asciiTheme="minorEastAsia" w:hAnsiTheme="minorEastAsia" w:eastAsiaTheme="minorEastAsia"/>
          <w:color w:val="auto"/>
          <w:sz w:val="32"/>
          <w:szCs w:val="32"/>
          <w:highlight w:val="none"/>
        </w:rPr>
        <w:t>支出决算为</w:t>
      </w:r>
      <w:r>
        <w:rPr>
          <w:rFonts w:hint="eastAsia" w:asciiTheme="minorEastAsia" w:hAnsiTheme="minorEastAsia" w:eastAsiaTheme="minorEastAsia"/>
          <w:color w:val="auto"/>
          <w:sz w:val="32"/>
          <w:szCs w:val="32"/>
          <w:highlight w:val="none"/>
          <w:lang w:val="en-US" w:eastAsia="zh-CN"/>
        </w:rPr>
        <w:t>3.6</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由于预算数为</w:t>
      </w:r>
      <w:r>
        <w:rPr>
          <w:rFonts w:hint="eastAsia" w:asciiTheme="minorEastAsia" w:hAnsiTheme="minorEastAsia" w:eastAsiaTheme="minorEastAsia"/>
          <w:color w:val="auto"/>
          <w:sz w:val="32"/>
          <w:szCs w:val="32"/>
          <w:highlight w:val="none"/>
          <w:lang w:val="en-US" w:eastAsia="zh-CN"/>
        </w:rPr>
        <w:t>0，无法计算百分比，</w:t>
      </w:r>
      <w:r>
        <w:rPr>
          <w:rFonts w:hint="eastAsia" w:asciiTheme="minorEastAsia" w:hAnsiTheme="minorEastAsia" w:eastAsiaTheme="minorEastAsia"/>
          <w:color w:val="auto"/>
          <w:sz w:val="32"/>
          <w:szCs w:val="32"/>
          <w:highlight w:val="none"/>
        </w:rPr>
        <w:t>决算数</w:t>
      </w:r>
      <w:r>
        <w:rPr>
          <w:rFonts w:hint="eastAsia" w:asciiTheme="minorEastAsia" w:hAnsiTheme="minorEastAsia" w:eastAsiaTheme="minorEastAsia"/>
          <w:color w:val="auto"/>
          <w:sz w:val="32"/>
          <w:szCs w:val="32"/>
          <w:highlight w:val="none"/>
          <w:lang w:eastAsia="zh-CN"/>
        </w:rPr>
        <w:t>大</w:t>
      </w:r>
      <w:r>
        <w:rPr>
          <w:rFonts w:hint="eastAsia" w:asciiTheme="minorEastAsia" w:hAnsiTheme="minorEastAsia" w:eastAsiaTheme="minorEastAsia"/>
          <w:color w:val="auto"/>
          <w:sz w:val="32"/>
          <w:szCs w:val="32"/>
          <w:highlight w:val="none"/>
        </w:rPr>
        <w:t>于年初预算数的主要原因是：</w:t>
      </w:r>
      <w:r>
        <w:rPr>
          <w:rFonts w:hint="eastAsia" w:asciiTheme="minorEastAsia" w:hAnsiTheme="minorEastAsia" w:eastAsiaTheme="minorEastAsia"/>
          <w:color w:val="auto"/>
          <w:sz w:val="32"/>
          <w:szCs w:val="32"/>
          <w:highlight w:val="none"/>
          <w:lang w:val="en-US" w:eastAsia="zh-CN"/>
        </w:rPr>
        <w:t>该项</w:t>
      </w:r>
      <w:r>
        <w:rPr>
          <w:rFonts w:hint="eastAsia" w:asciiTheme="minorEastAsia" w:hAnsiTheme="minorEastAsia" w:eastAsiaTheme="minorEastAsia"/>
          <w:color w:val="auto"/>
          <w:sz w:val="32"/>
          <w:szCs w:val="32"/>
          <w:highlight w:val="none"/>
          <w:lang w:eastAsia="zh-CN"/>
        </w:rPr>
        <w:t>系财政下拨文明城市创建奖励经费，无年初预算。</w:t>
      </w:r>
    </w:p>
    <w:p>
      <w:pPr>
        <w:pStyle w:val="14"/>
        <w:numPr>
          <w:ilvl w:val="0"/>
          <w:numId w:val="2"/>
        </w:numPr>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color w:val="auto"/>
          <w:sz w:val="32"/>
          <w:szCs w:val="32"/>
          <w:highlight w:val="none"/>
        </w:rPr>
        <w:t>社会保障和就业支出（类）人力资源和社会保障管理事务（款</w:t>
      </w:r>
      <w:r>
        <w:rPr>
          <w:rFonts w:hint="eastAsia" w:asciiTheme="minorEastAsia" w:hAnsiTheme="minorEastAsia" w:eastAsiaTheme="minorEastAsia"/>
          <w:color w:val="auto"/>
          <w:sz w:val="32"/>
          <w:szCs w:val="32"/>
          <w:highlight w:val="none"/>
          <w:lang w:eastAsia="zh-CN"/>
        </w:rPr>
        <w:t>）</w:t>
      </w:r>
      <w:r>
        <w:rPr>
          <w:rFonts w:hint="eastAsia" w:asciiTheme="minorEastAsia" w:hAnsiTheme="minorEastAsia" w:eastAsiaTheme="minorEastAsia"/>
          <w:color w:val="auto"/>
          <w:sz w:val="32"/>
          <w:szCs w:val="32"/>
          <w:highlight w:val="none"/>
        </w:rPr>
        <w:t>其他人力资源和社会保障管理事务支出（项）。年初预算为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万元，支出决算为</w:t>
      </w:r>
      <w:r>
        <w:rPr>
          <w:rFonts w:hint="eastAsia" w:asciiTheme="minorEastAsia" w:hAnsiTheme="minorEastAsia" w:eastAsiaTheme="minorEastAsia"/>
          <w:color w:val="auto"/>
          <w:sz w:val="32"/>
          <w:szCs w:val="32"/>
          <w:highlight w:val="none"/>
          <w:lang w:val="en-US" w:eastAsia="zh-CN"/>
        </w:rPr>
        <w:t>0.82</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由于预算数为</w:t>
      </w:r>
      <w:r>
        <w:rPr>
          <w:rFonts w:hint="eastAsia" w:asciiTheme="minorEastAsia" w:hAnsiTheme="minorEastAsia" w:eastAsiaTheme="minorEastAsia"/>
          <w:color w:val="auto"/>
          <w:sz w:val="32"/>
          <w:szCs w:val="32"/>
          <w:highlight w:val="none"/>
          <w:lang w:val="en-US" w:eastAsia="zh-CN"/>
        </w:rPr>
        <w:t>0，无法计算百分比，</w:t>
      </w:r>
      <w:r>
        <w:rPr>
          <w:rFonts w:hint="eastAsia" w:asciiTheme="minorEastAsia" w:hAnsiTheme="minorEastAsia" w:eastAsiaTheme="minorEastAsia"/>
          <w:color w:val="auto"/>
          <w:sz w:val="32"/>
          <w:szCs w:val="32"/>
          <w:highlight w:val="none"/>
        </w:rPr>
        <w:t>决算数</w:t>
      </w:r>
      <w:r>
        <w:rPr>
          <w:rFonts w:hint="eastAsia" w:asciiTheme="minorEastAsia" w:hAnsiTheme="minorEastAsia" w:eastAsiaTheme="minorEastAsia"/>
          <w:color w:val="auto"/>
          <w:sz w:val="32"/>
          <w:szCs w:val="32"/>
          <w:highlight w:val="none"/>
          <w:lang w:eastAsia="zh-CN"/>
        </w:rPr>
        <w:t>大</w:t>
      </w:r>
      <w:r>
        <w:rPr>
          <w:rFonts w:hint="eastAsia" w:asciiTheme="minorEastAsia" w:hAnsiTheme="minorEastAsia" w:eastAsiaTheme="minorEastAsia"/>
          <w:color w:val="auto"/>
          <w:sz w:val="32"/>
          <w:szCs w:val="32"/>
          <w:highlight w:val="none"/>
        </w:rPr>
        <w:t>于年初预算数的主要原因是：</w:t>
      </w:r>
      <w:r>
        <w:rPr>
          <w:rFonts w:hint="eastAsia" w:asciiTheme="minorEastAsia" w:hAnsiTheme="minorEastAsia" w:eastAsiaTheme="minorEastAsia"/>
          <w:color w:val="auto"/>
          <w:sz w:val="32"/>
          <w:szCs w:val="32"/>
          <w:highlight w:val="none"/>
          <w:lang w:eastAsia="zh-CN"/>
        </w:rPr>
        <w:t>离休老干年终一个月工资奖，未纳入年初部门预算。</w:t>
      </w:r>
    </w:p>
    <w:p>
      <w:pPr>
        <w:pStyle w:val="14"/>
        <w:numPr>
          <w:ilvl w:val="0"/>
          <w:numId w:val="2"/>
        </w:numPr>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lang w:val="en-US" w:eastAsia="zh-CN"/>
        </w:rPr>
        <w:t>3</w:t>
      </w:r>
      <w:r>
        <w:rPr>
          <w:rFonts w:hint="eastAsia" w:asciiTheme="minorEastAsia" w:hAnsiTheme="minorEastAsia" w:eastAsiaTheme="minorEastAsia"/>
          <w:color w:val="auto"/>
          <w:sz w:val="32"/>
          <w:szCs w:val="32"/>
          <w:highlight w:val="none"/>
        </w:rPr>
        <w:t>、社会保障和就业支出（类）行政事业单位养老支出（款） 行政单位离退休（项）。年初预算为</w:t>
      </w:r>
      <w:r>
        <w:rPr>
          <w:rFonts w:hint="eastAsia" w:asciiTheme="minorEastAsia" w:hAnsiTheme="minorEastAsia" w:eastAsiaTheme="minorEastAsia"/>
          <w:color w:val="auto"/>
          <w:sz w:val="32"/>
          <w:szCs w:val="32"/>
          <w:highlight w:val="none"/>
          <w:lang w:val="en-US" w:eastAsia="zh-CN"/>
        </w:rPr>
        <w:t>36.15</w:t>
      </w:r>
      <w:r>
        <w:rPr>
          <w:rFonts w:hint="eastAsia" w:asciiTheme="minorEastAsia" w:hAnsiTheme="minorEastAsia" w:eastAsiaTheme="minorEastAsia"/>
          <w:color w:val="auto"/>
          <w:sz w:val="32"/>
          <w:szCs w:val="32"/>
          <w:highlight w:val="none"/>
        </w:rPr>
        <w:t>万元，支出决算为</w:t>
      </w:r>
      <w:r>
        <w:rPr>
          <w:rFonts w:hint="eastAsia" w:asciiTheme="minorEastAsia" w:hAnsiTheme="minorEastAsia" w:eastAsiaTheme="minorEastAsia"/>
          <w:color w:val="auto"/>
          <w:sz w:val="32"/>
          <w:szCs w:val="32"/>
          <w:highlight w:val="none"/>
          <w:lang w:val="en-US" w:eastAsia="zh-CN"/>
        </w:rPr>
        <w:t>36.15</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完成预算的</w:t>
      </w:r>
      <w:r>
        <w:rPr>
          <w:rFonts w:hint="eastAsia" w:asciiTheme="minorEastAsia" w:hAnsiTheme="minorEastAsia" w:eastAsiaTheme="minorEastAsia"/>
          <w:color w:val="auto"/>
          <w:sz w:val="32"/>
          <w:szCs w:val="32"/>
          <w:highlight w:val="none"/>
          <w:lang w:val="en-US" w:eastAsia="zh-CN"/>
        </w:rPr>
        <w:t>100%</w:t>
      </w:r>
      <w:r>
        <w:rPr>
          <w:rFonts w:hint="eastAsia" w:asciiTheme="minorEastAsia" w:hAnsiTheme="minorEastAsia" w:eastAsiaTheme="minorEastAsia"/>
          <w:color w:val="auto"/>
          <w:sz w:val="32"/>
          <w:szCs w:val="32"/>
          <w:highlight w:val="none"/>
          <w:lang w:eastAsia="zh-CN"/>
        </w:rPr>
        <w:t>。</w:t>
      </w:r>
    </w:p>
    <w:p>
      <w:pPr>
        <w:pStyle w:val="14"/>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color w:val="auto"/>
          <w:sz w:val="32"/>
          <w:szCs w:val="32"/>
          <w:highlight w:val="none"/>
          <w:lang w:val="en-US" w:eastAsia="zh-CN"/>
        </w:rPr>
        <w:t>4</w:t>
      </w:r>
      <w:r>
        <w:rPr>
          <w:rFonts w:hint="eastAsia" w:asciiTheme="minorEastAsia" w:hAnsiTheme="minorEastAsia" w:eastAsiaTheme="minorEastAsia"/>
          <w:color w:val="auto"/>
          <w:sz w:val="32"/>
          <w:szCs w:val="32"/>
          <w:highlight w:val="none"/>
        </w:rPr>
        <w:t>、社会保障和就业支出（类）行政事业单位养老支出（款）机关事业单位基本养老保险缴费支出（项）。年初预算为</w:t>
      </w:r>
      <w:r>
        <w:rPr>
          <w:rFonts w:hint="eastAsia" w:asciiTheme="minorEastAsia" w:hAnsiTheme="minorEastAsia" w:eastAsiaTheme="minorEastAsia"/>
          <w:color w:val="auto"/>
          <w:sz w:val="32"/>
          <w:szCs w:val="32"/>
          <w:highlight w:val="none"/>
          <w:lang w:val="en-US" w:eastAsia="zh-CN"/>
        </w:rPr>
        <w:t>89.93</w:t>
      </w:r>
      <w:r>
        <w:rPr>
          <w:rFonts w:hint="eastAsia" w:asciiTheme="minorEastAsia" w:hAnsiTheme="minorEastAsia" w:eastAsiaTheme="minorEastAsia"/>
          <w:color w:val="auto"/>
          <w:sz w:val="32"/>
          <w:szCs w:val="32"/>
          <w:highlight w:val="none"/>
        </w:rPr>
        <w:t>万元，支出决算为</w:t>
      </w:r>
      <w:r>
        <w:rPr>
          <w:rFonts w:hint="eastAsia" w:asciiTheme="minorEastAsia" w:hAnsiTheme="minorEastAsia" w:eastAsiaTheme="minorEastAsia"/>
          <w:color w:val="auto"/>
          <w:sz w:val="32"/>
          <w:szCs w:val="32"/>
          <w:highlight w:val="none"/>
          <w:lang w:val="en-US" w:eastAsia="zh-CN"/>
        </w:rPr>
        <w:t>89.93</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完成预算的</w:t>
      </w:r>
      <w:r>
        <w:rPr>
          <w:rFonts w:hint="eastAsia" w:asciiTheme="minorEastAsia" w:hAnsiTheme="minorEastAsia" w:eastAsiaTheme="minorEastAsia"/>
          <w:color w:val="auto"/>
          <w:sz w:val="32"/>
          <w:szCs w:val="32"/>
          <w:highlight w:val="none"/>
          <w:lang w:val="en-US" w:eastAsia="zh-CN"/>
        </w:rPr>
        <w:t>100%</w:t>
      </w:r>
      <w:r>
        <w:rPr>
          <w:rFonts w:hint="eastAsia" w:asciiTheme="minorEastAsia" w:hAnsiTheme="minorEastAsia" w:eastAsiaTheme="minorEastAsia"/>
          <w:color w:val="auto"/>
          <w:sz w:val="32"/>
          <w:szCs w:val="32"/>
          <w:highlight w:val="none"/>
          <w:lang w:eastAsia="zh-CN"/>
        </w:rPr>
        <w:t>。</w:t>
      </w:r>
    </w:p>
    <w:p>
      <w:pPr>
        <w:pStyle w:val="14"/>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color w:val="auto"/>
          <w:sz w:val="32"/>
          <w:szCs w:val="32"/>
          <w:highlight w:val="none"/>
          <w:lang w:val="en-US" w:eastAsia="zh-CN"/>
        </w:rPr>
        <w:t>5</w:t>
      </w:r>
      <w:r>
        <w:rPr>
          <w:rFonts w:hint="eastAsia" w:asciiTheme="minorEastAsia" w:hAnsiTheme="minorEastAsia" w:eastAsiaTheme="minorEastAsia"/>
          <w:color w:val="auto"/>
          <w:sz w:val="32"/>
          <w:szCs w:val="32"/>
          <w:highlight w:val="none"/>
        </w:rPr>
        <w:t>、社会保障和就业支出（类）行政事业单位养老支出（款）其他行政事业单位养老支出（项）。年初预算为</w:t>
      </w:r>
      <w:r>
        <w:rPr>
          <w:rFonts w:hint="eastAsia" w:asciiTheme="minorEastAsia" w:hAnsiTheme="minorEastAsia" w:eastAsiaTheme="minorEastAsia"/>
          <w:color w:val="auto"/>
          <w:sz w:val="32"/>
          <w:szCs w:val="32"/>
          <w:highlight w:val="none"/>
          <w:lang w:val="en-US" w:eastAsia="zh-CN"/>
        </w:rPr>
        <w:t>2.2</w:t>
      </w:r>
      <w:r>
        <w:rPr>
          <w:rFonts w:hint="eastAsia" w:asciiTheme="minorEastAsia" w:hAnsiTheme="minorEastAsia" w:eastAsiaTheme="minorEastAsia"/>
          <w:color w:val="auto"/>
          <w:sz w:val="32"/>
          <w:szCs w:val="32"/>
          <w:highlight w:val="none"/>
        </w:rPr>
        <w:t>万元，支出决算为</w:t>
      </w:r>
      <w:r>
        <w:rPr>
          <w:rFonts w:hint="eastAsia" w:asciiTheme="minorEastAsia" w:hAnsiTheme="minorEastAsia" w:eastAsiaTheme="minorEastAsia"/>
          <w:color w:val="auto"/>
          <w:sz w:val="32"/>
          <w:szCs w:val="32"/>
          <w:highlight w:val="none"/>
          <w:lang w:val="en-US" w:eastAsia="zh-CN"/>
        </w:rPr>
        <w:t>2.2</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完成预算的</w:t>
      </w:r>
      <w:r>
        <w:rPr>
          <w:rFonts w:hint="eastAsia" w:asciiTheme="minorEastAsia" w:hAnsiTheme="minorEastAsia" w:eastAsiaTheme="minorEastAsia"/>
          <w:color w:val="auto"/>
          <w:sz w:val="32"/>
          <w:szCs w:val="32"/>
          <w:highlight w:val="none"/>
          <w:lang w:val="en-US" w:eastAsia="zh-CN"/>
        </w:rPr>
        <w:t>100%，</w:t>
      </w:r>
      <w:r>
        <w:rPr>
          <w:rFonts w:hint="eastAsia" w:asciiTheme="minorEastAsia" w:hAnsiTheme="minorEastAsia" w:eastAsiaTheme="minorEastAsia"/>
          <w:color w:val="auto"/>
          <w:sz w:val="32"/>
          <w:szCs w:val="32"/>
          <w:highlight w:val="none"/>
          <w:lang w:eastAsia="zh-CN"/>
        </w:rPr>
        <w:t>纳入年初部门预算。</w:t>
      </w:r>
    </w:p>
    <w:p>
      <w:pPr>
        <w:pStyle w:val="14"/>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color w:val="auto"/>
          <w:sz w:val="32"/>
          <w:szCs w:val="32"/>
          <w:highlight w:val="none"/>
          <w:lang w:val="en-US" w:eastAsia="zh-CN"/>
        </w:rPr>
        <w:t>6</w:t>
      </w:r>
      <w:r>
        <w:rPr>
          <w:rFonts w:hint="eastAsia" w:asciiTheme="minorEastAsia" w:hAnsiTheme="minorEastAsia" w:eastAsiaTheme="minorEastAsia"/>
          <w:color w:val="auto"/>
          <w:sz w:val="32"/>
          <w:szCs w:val="32"/>
          <w:highlight w:val="none"/>
        </w:rPr>
        <w:t>、社会保障和就业支出（类）抚恤（款） 其他优抚支出（项）。年初预算为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万元，支出决算为</w:t>
      </w:r>
      <w:r>
        <w:rPr>
          <w:rFonts w:hint="eastAsia" w:asciiTheme="minorEastAsia" w:hAnsiTheme="minorEastAsia" w:eastAsiaTheme="minorEastAsia"/>
          <w:color w:val="auto"/>
          <w:sz w:val="32"/>
          <w:szCs w:val="32"/>
          <w:highlight w:val="none"/>
          <w:lang w:val="en-US" w:eastAsia="zh-CN"/>
        </w:rPr>
        <w:t>91.28</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由于预算数为</w:t>
      </w:r>
      <w:r>
        <w:rPr>
          <w:rFonts w:hint="eastAsia" w:asciiTheme="minorEastAsia" w:hAnsiTheme="minorEastAsia" w:eastAsiaTheme="minorEastAsia"/>
          <w:color w:val="auto"/>
          <w:sz w:val="32"/>
          <w:szCs w:val="32"/>
          <w:highlight w:val="none"/>
          <w:lang w:val="en-US" w:eastAsia="zh-CN"/>
        </w:rPr>
        <w:t>0，无法计算百分比，支出决算大于预算的原因是此项经费为老同志一次性抚恤金，由市财政按照人数据实拨付，未纳入年初部门预算</w:t>
      </w:r>
      <w:r>
        <w:rPr>
          <w:rFonts w:hint="eastAsia" w:asciiTheme="minorEastAsia" w:hAnsiTheme="minorEastAsia" w:eastAsiaTheme="minorEastAsia"/>
          <w:color w:val="auto"/>
          <w:sz w:val="32"/>
          <w:szCs w:val="32"/>
          <w:highlight w:val="none"/>
          <w:lang w:eastAsia="zh-CN"/>
        </w:rPr>
        <w:t>。</w:t>
      </w:r>
    </w:p>
    <w:p>
      <w:pPr>
        <w:pStyle w:val="14"/>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color w:val="auto"/>
          <w:sz w:val="32"/>
          <w:szCs w:val="32"/>
          <w:highlight w:val="none"/>
          <w:lang w:val="en-US" w:eastAsia="zh-CN"/>
        </w:rPr>
        <w:t>7</w:t>
      </w:r>
      <w:r>
        <w:rPr>
          <w:rFonts w:hint="eastAsia" w:asciiTheme="minorEastAsia" w:hAnsiTheme="minorEastAsia" w:eastAsiaTheme="minorEastAsia"/>
          <w:color w:val="auto"/>
          <w:sz w:val="32"/>
          <w:szCs w:val="32"/>
          <w:highlight w:val="none"/>
        </w:rPr>
        <w:t>、社会保障和就业支出（类）残疾人事业（款）其他残疾人事业支出（项）。年初预算为</w:t>
      </w:r>
      <w:r>
        <w:rPr>
          <w:rFonts w:hint="eastAsia" w:asciiTheme="minorEastAsia" w:hAnsiTheme="minorEastAsia" w:eastAsiaTheme="minorEastAsia"/>
          <w:color w:val="auto"/>
          <w:sz w:val="32"/>
          <w:szCs w:val="32"/>
          <w:highlight w:val="none"/>
          <w:lang w:val="en-US" w:eastAsia="zh-CN"/>
        </w:rPr>
        <w:t>7.58万</w:t>
      </w:r>
      <w:r>
        <w:rPr>
          <w:rFonts w:hint="eastAsia" w:asciiTheme="minorEastAsia" w:hAnsiTheme="minorEastAsia" w:eastAsiaTheme="minorEastAsia"/>
          <w:color w:val="auto"/>
          <w:sz w:val="32"/>
          <w:szCs w:val="32"/>
          <w:highlight w:val="none"/>
        </w:rPr>
        <w:t>元，支出决算为</w:t>
      </w:r>
      <w:r>
        <w:rPr>
          <w:rFonts w:hint="eastAsia" w:asciiTheme="minorEastAsia" w:hAnsiTheme="minorEastAsia" w:eastAsiaTheme="minorEastAsia"/>
          <w:color w:val="auto"/>
          <w:sz w:val="32"/>
          <w:szCs w:val="32"/>
          <w:highlight w:val="none"/>
          <w:lang w:val="en-US" w:eastAsia="zh-CN"/>
        </w:rPr>
        <w:t>7.58</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完成预算的</w:t>
      </w:r>
      <w:r>
        <w:rPr>
          <w:rFonts w:hint="eastAsia" w:asciiTheme="minorEastAsia" w:hAnsiTheme="minorEastAsia" w:eastAsiaTheme="minorEastAsia"/>
          <w:color w:val="auto"/>
          <w:sz w:val="32"/>
          <w:szCs w:val="32"/>
          <w:highlight w:val="none"/>
          <w:lang w:val="en-US" w:eastAsia="zh-CN"/>
        </w:rPr>
        <w:t>100%</w:t>
      </w:r>
      <w:r>
        <w:rPr>
          <w:rFonts w:hint="eastAsia" w:asciiTheme="minorEastAsia" w:hAnsiTheme="minorEastAsia" w:eastAsiaTheme="minorEastAsia"/>
          <w:color w:val="auto"/>
          <w:sz w:val="32"/>
          <w:szCs w:val="32"/>
          <w:highlight w:val="none"/>
          <w:lang w:eastAsia="zh-CN"/>
        </w:rPr>
        <w:t>。</w:t>
      </w:r>
    </w:p>
    <w:p>
      <w:pPr>
        <w:pStyle w:val="14"/>
        <w:ind w:firstLine="640" w:firstLineChars="200"/>
        <w:rPr>
          <w:rFonts w:hint="eastAsia"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highlight w:val="none"/>
          <w:lang w:val="en-US" w:eastAsia="zh-CN"/>
        </w:rPr>
        <w:t>8</w:t>
      </w:r>
      <w:r>
        <w:rPr>
          <w:rFonts w:hint="eastAsia" w:asciiTheme="minorEastAsia" w:hAnsiTheme="minorEastAsia" w:eastAsiaTheme="minorEastAsia"/>
          <w:color w:val="auto"/>
          <w:sz w:val="32"/>
          <w:szCs w:val="32"/>
          <w:highlight w:val="none"/>
        </w:rPr>
        <w:t>、社会保障和就业支出（类）红十字事业（款） 其他红十字事业支出（项）。年初预算为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万元，支出决算为</w:t>
      </w:r>
      <w:r>
        <w:rPr>
          <w:rFonts w:hint="eastAsia" w:asciiTheme="minorEastAsia" w:hAnsiTheme="minorEastAsia" w:eastAsiaTheme="minorEastAsia"/>
          <w:color w:val="auto"/>
          <w:sz w:val="32"/>
          <w:szCs w:val="32"/>
          <w:highlight w:val="none"/>
          <w:lang w:val="en-US" w:eastAsia="zh-CN"/>
        </w:rPr>
        <w:t>10</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由于预算数为</w:t>
      </w:r>
      <w:r>
        <w:rPr>
          <w:rFonts w:hint="eastAsia" w:asciiTheme="minorEastAsia" w:hAnsiTheme="minorEastAsia" w:eastAsiaTheme="minorEastAsia"/>
          <w:color w:val="auto"/>
          <w:sz w:val="32"/>
          <w:szCs w:val="32"/>
          <w:highlight w:val="none"/>
          <w:lang w:val="en-US" w:eastAsia="zh-CN"/>
        </w:rPr>
        <w:t>0，无法计算百分比，支出决算大于预算的原因是：此为</w:t>
      </w:r>
      <w:r>
        <w:rPr>
          <w:rFonts w:hint="eastAsia" w:asciiTheme="minorEastAsia" w:hAnsiTheme="minorEastAsia" w:eastAsiaTheme="minorEastAsia"/>
          <w:color w:val="auto"/>
          <w:sz w:val="32"/>
          <w:szCs w:val="32"/>
          <w:highlight w:val="none"/>
          <w:lang w:eastAsia="zh-CN"/>
        </w:rPr>
        <w:t>上年结转省拨红十字会应急救护资金</w:t>
      </w:r>
      <w:r>
        <w:rPr>
          <w:rFonts w:hint="eastAsia" w:asciiTheme="minorEastAsia" w:hAnsiTheme="minorEastAsia" w:eastAsiaTheme="minorEastAsia"/>
          <w:color w:val="auto"/>
          <w:sz w:val="32"/>
          <w:szCs w:val="32"/>
          <w:highlight w:val="none"/>
          <w:lang w:val="en-US" w:eastAsia="zh-CN"/>
        </w:rPr>
        <w:t>，未纳入年初预算，项目已于上年开展，今年完成结算。</w:t>
      </w:r>
    </w:p>
    <w:p>
      <w:pPr>
        <w:pStyle w:val="14"/>
        <w:ind w:firstLine="640" w:firstLineChars="200"/>
        <w:rPr>
          <w:rFonts w:hint="default"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highlight w:val="none"/>
          <w:lang w:val="en-US" w:eastAsia="zh-CN"/>
        </w:rPr>
        <w:t>9</w:t>
      </w:r>
      <w:r>
        <w:rPr>
          <w:rFonts w:hint="eastAsia" w:asciiTheme="minorEastAsia" w:hAnsiTheme="minorEastAsia" w:eastAsiaTheme="minorEastAsia"/>
          <w:color w:val="auto"/>
          <w:sz w:val="32"/>
          <w:szCs w:val="32"/>
          <w:highlight w:val="none"/>
        </w:rPr>
        <w:t>、社会保障和就业支出（类）其他社会保障和就业支出（款） 其他社会保障和就业支出（项）。年初预算为</w:t>
      </w:r>
      <w:r>
        <w:rPr>
          <w:rFonts w:hint="eastAsia" w:asciiTheme="minorEastAsia" w:hAnsiTheme="minorEastAsia" w:eastAsiaTheme="minorEastAsia"/>
          <w:color w:val="auto"/>
          <w:sz w:val="32"/>
          <w:szCs w:val="32"/>
          <w:highlight w:val="none"/>
          <w:lang w:val="en-US" w:eastAsia="zh-CN"/>
        </w:rPr>
        <w:t>0.96</w:t>
      </w:r>
      <w:r>
        <w:rPr>
          <w:rFonts w:hint="eastAsia" w:asciiTheme="minorEastAsia" w:hAnsiTheme="minorEastAsia" w:eastAsiaTheme="minorEastAsia"/>
          <w:color w:val="auto"/>
          <w:sz w:val="32"/>
          <w:szCs w:val="32"/>
          <w:highlight w:val="none"/>
        </w:rPr>
        <w:t>万元，支出决算为</w:t>
      </w:r>
      <w:r>
        <w:rPr>
          <w:rFonts w:hint="eastAsia" w:asciiTheme="minorEastAsia" w:hAnsiTheme="minorEastAsia" w:eastAsiaTheme="minorEastAsia"/>
          <w:color w:val="auto"/>
          <w:sz w:val="32"/>
          <w:szCs w:val="32"/>
          <w:highlight w:val="none"/>
          <w:lang w:val="en-US" w:eastAsia="zh-CN"/>
        </w:rPr>
        <w:t>0.96</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完成预算的</w:t>
      </w:r>
      <w:r>
        <w:rPr>
          <w:rFonts w:hint="eastAsia" w:asciiTheme="minorEastAsia" w:hAnsiTheme="minorEastAsia" w:eastAsiaTheme="minorEastAsia"/>
          <w:color w:val="auto"/>
          <w:sz w:val="32"/>
          <w:szCs w:val="32"/>
          <w:highlight w:val="none"/>
          <w:lang w:val="en-US" w:eastAsia="zh-CN"/>
        </w:rPr>
        <w:t>100%，建国初期参加工作退休干部补贴</w:t>
      </w:r>
      <w:r>
        <w:rPr>
          <w:rFonts w:hint="eastAsia" w:asciiTheme="minorEastAsia" w:hAnsiTheme="minorEastAsia" w:eastAsiaTheme="minorEastAsia"/>
          <w:color w:val="auto"/>
          <w:sz w:val="32"/>
          <w:szCs w:val="32"/>
          <w:highlight w:val="none"/>
          <w:lang w:eastAsia="zh-CN"/>
        </w:rPr>
        <w:t>。</w:t>
      </w:r>
    </w:p>
    <w:p>
      <w:pPr>
        <w:pStyle w:val="7"/>
        <w:keepNext w:val="0"/>
        <w:keepLines w:val="0"/>
        <w:widowControl/>
        <w:suppressLineNumbers w:val="0"/>
        <w:spacing w:before="0" w:beforeAutospacing="0" w:after="0" w:afterAutospacing="0" w:line="33" w:lineRule="atLeast"/>
        <w:ind w:firstLine="640" w:firstLineChars="200"/>
        <w:jc w:val="both"/>
        <w:rPr>
          <w:rFonts w:hint="eastAsia" w:cs="黑体" w:asciiTheme="minorEastAsia" w:hAnsiTheme="minorEastAsia"/>
          <w:color w:val="auto"/>
          <w:kern w:val="0"/>
          <w:sz w:val="32"/>
          <w:szCs w:val="32"/>
          <w:highlight w:val="none"/>
          <w:lang w:val="en-US" w:eastAsia="zh-CN" w:bidi="ar-SA"/>
        </w:rPr>
      </w:pPr>
      <w:r>
        <w:rPr>
          <w:rFonts w:hint="eastAsia" w:cs="黑体" w:asciiTheme="minorEastAsia" w:hAnsiTheme="minorEastAsia" w:eastAsiaTheme="minorEastAsia"/>
          <w:color w:val="auto"/>
          <w:kern w:val="0"/>
          <w:sz w:val="32"/>
          <w:szCs w:val="32"/>
          <w:highlight w:val="none"/>
          <w:lang w:val="en-US" w:eastAsia="zh-CN" w:bidi="ar-SA"/>
        </w:rPr>
        <w:t>1</w:t>
      </w:r>
      <w:r>
        <w:rPr>
          <w:rFonts w:hint="eastAsia" w:cs="黑体" w:asciiTheme="minorEastAsia" w:hAnsiTheme="minorEastAsia"/>
          <w:color w:val="auto"/>
          <w:kern w:val="0"/>
          <w:sz w:val="32"/>
          <w:szCs w:val="32"/>
          <w:highlight w:val="none"/>
          <w:lang w:val="en-US" w:eastAsia="zh-CN" w:bidi="ar-SA"/>
        </w:rPr>
        <w:t>0</w:t>
      </w:r>
      <w:r>
        <w:rPr>
          <w:rFonts w:hint="eastAsia" w:cs="黑体" w:asciiTheme="minorEastAsia" w:hAnsiTheme="minorEastAsia" w:eastAsiaTheme="minorEastAsia"/>
          <w:color w:val="auto"/>
          <w:kern w:val="0"/>
          <w:sz w:val="32"/>
          <w:szCs w:val="32"/>
          <w:highlight w:val="none"/>
          <w:lang w:val="en-US" w:eastAsia="zh-CN" w:bidi="ar-SA"/>
        </w:rPr>
        <w:t>、卫生健康支出（类）卫生健康管理事务（款）行政运行（项）年初预算</w:t>
      </w:r>
      <w:r>
        <w:rPr>
          <w:rFonts w:hint="eastAsia" w:cs="黑体" w:asciiTheme="minorEastAsia" w:hAnsiTheme="minorEastAsia"/>
          <w:color w:val="auto"/>
          <w:kern w:val="0"/>
          <w:sz w:val="32"/>
          <w:szCs w:val="32"/>
          <w:highlight w:val="none"/>
          <w:lang w:val="en-US" w:eastAsia="zh-CN" w:bidi="ar-SA"/>
        </w:rPr>
        <w:t>768.62</w:t>
      </w:r>
      <w:r>
        <w:rPr>
          <w:rFonts w:hint="eastAsia" w:cs="黑体" w:asciiTheme="minorEastAsia" w:hAnsiTheme="minorEastAsia" w:eastAsiaTheme="minorEastAsia"/>
          <w:color w:val="auto"/>
          <w:kern w:val="0"/>
          <w:sz w:val="32"/>
          <w:szCs w:val="32"/>
          <w:highlight w:val="none"/>
          <w:lang w:val="en-US" w:eastAsia="zh-CN" w:bidi="ar-SA"/>
        </w:rPr>
        <w:t>万元</w:t>
      </w:r>
      <w:r>
        <w:rPr>
          <w:rFonts w:hint="eastAsia" w:cs="黑体" w:asciiTheme="minorEastAsia" w:hAnsiTheme="minorEastAsia"/>
          <w:color w:val="auto"/>
          <w:kern w:val="0"/>
          <w:sz w:val="32"/>
          <w:szCs w:val="32"/>
          <w:highlight w:val="none"/>
          <w:lang w:val="en-US" w:eastAsia="zh-CN" w:bidi="ar-SA"/>
        </w:rPr>
        <w:t>，</w:t>
      </w:r>
      <w:r>
        <w:rPr>
          <w:rFonts w:hint="eastAsia" w:cs="黑体" w:asciiTheme="minorEastAsia" w:hAnsiTheme="minorEastAsia" w:eastAsiaTheme="minorEastAsia"/>
          <w:color w:val="auto"/>
          <w:kern w:val="0"/>
          <w:sz w:val="32"/>
          <w:szCs w:val="32"/>
          <w:highlight w:val="none"/>
          <w:lang w:val="en-US" w:eastAsia="zh-CN" w:bidi="ar-SA"/>
        </w:rPr>
        <w:t>决算</w:t>
      </w:r>
      <w:r>
        <w:rPr>
          <w:rFonts w:hint="eastAsia" w:cs="黑体" w:asciiTheme="minorEastAsia" w:hAnsiTheme="minorEastAsia"/>
          <w:color w:val="auto"/>
          <w:kern w:val="0"/>
          <w:sz w:val="32"/>
          <w:szCs w:val="32"/>
          <w:highlight w:val="none"/>
          <w:lang w:val="en-US" w:eastAsia="zh-CN" w:bidi="ar-SA"/>
        </w:rPr>
        <w:t>806.6</w:t>
      </w:r>
      <w:r>
        <w:rPr>
          <w:rFonts w:hint="eastAsia" w:cs="黑体" w:asciiTheme="minorEastAsia" w:hAnsiTheme="minorEastAsia" w:eastAsiaTheme="minorEastAsia"/>
          <w:color w:val="auto"/>
          <w:kern w:val="0"/>
          <w:sz w:val="32"/>
          <w:szCs w:val="32"/>
          <w:highlight w:val="none"/>
          <w:lang w:val="en-US" w:eastAsia="zh-CN" w:bidi="ar-SA"/>
        </w:rPr>
        <w:t>万元，完成</w:t>
      </w:r>
      <w:r>
        <w:rPr>
          <w:rFonts w:hint="eastAsia" w:cs="黑体" w:asciiTheme="minorEastAsia" w:hAnsiTheme="minorEastAsia"/>
          <w:color w:val="auto"/>
          <w:kern w:val="0"/>
          <w:sz w:val="32"/>
          <w:szCs w:val="32"/>
          <w:highlight w:val="none"/>
          <w:lang w:val="en-US" w:eastAsia="zh-CN" w:bidi="ar-SA"/>
        </w:rPr>
        <w:t>年初</w:t>
      </w:r>
      <w:r>
        <w:rPr>
          <w:rFonts w:hint="eastAsia" w:cs="黑体" w:asciiTheme="minorEastAsia" w:hAnsiTheme="minorEastAsia" w:eastAsiaTheme="minorEastAsia"/>
          <w:color w:val="auto"/>
          <w:kern w:val="0"/>
          <w:sz w:val="32"/>
          <w:szCs w:val="32"/>
          <w:highlight w:val="none"/>
          <w:lang w:val="en-US" w:eastAsia="zh-CN" w:bidi="ar-SA"/>
        </w:rPr>
        <w:t>预算</w:t>
      </w:r>
      <w:r>
        <w:rPr>
          <w:rFonts w:hint="eastAsia" w:cs="黑体" w:asciiTheme="minorEastAsia" w:hAnsiTheme="minorEastAsia"/>
          <w:color w:val="auto"/>
          <w:kern w:val="0"/>
          <w:sz w:val="32"/>
          <w:szCs w:val="32"/>
          <w:highlight w:val="none"/>
          <w:lang w:val="en-US" w:eastAsia="zh-CN" w:bidi="ar-SA"/>
        </w:rPr>
        <w:t>的</w:t>
      </w:r>
      <w:r>
        <w:rPr>
          <w:rFonts w:hint="eastAsia" w:cs="黑体" w:asciiTheme="minorEastAsia" w:hAnsiTheme="minorEastAsia" w:eastAsiaTheme="minorEastAsia"/>
          <w:color w:val="auto"/>
          <w:kern w:val="0"/>
          <w:sz w:val="32"/>
          <w:szCs w:val="32"/>
          <w:highlight w:val="none"/>
          <w:lang w:val="en-US" w:eastAsia="zh-CN" w:bidi="ar-SA"/>
        </w:rPr>
        <w:t>10</w:t>
      </w:r>
      <w:r>
        <w:rPr>
          <w:rFonts w:hint="eastAsia" w:cs="黑体" w:asciiTheme="minorEastAsia" w:hAnsiTheme="minorEastAsia"/>
          <w:color w:val="auto"/>
          <w:kern w:val="0"/>
          <w:sz w:val="32"/>
          <w:szCs w:val="32"/>
          <w:highlight w:val="none"/>
          <w:lang w:val="en-US" w:eastAsia="zh-CN" w:bidi="ar-SA"/>
        </w:rPr>
        <w:t>4.94</w:t>
      </w:r>
      <w:r>
        <w:rPr>
          <w:rFonts w:hint="eastAsia" w:cs="黑体" w:asciiTheme="minorEastAsia" w:hAnsiTheme="minorEastAsia" w:eastAsiaTheme="minorEastAsia"/>
          <w:color w:val="auto"/>
          <w:kern w:val="0"/>
          <w:sz w:val="32"/>
          <w:szCs w:val="32"/>
          <w:highlight w:val="none"/>
          <w:lang w:val="en-US" w:eastAsia="zh-CN" w:bidi="ar-SA"/>
        </w:rPr>
        <w:t>%</w:t>
      </w:r>
      <w:r>
        <w:rPr>
          <w:rFonts w:hint="eastAsia" w:cs="黑体" w:asciiTheme="minorEastAsia" w:hAnsiTheme="minorEastAsia"/>
          <w:color w:val="auto"/>
          <w:kern w:val="0"/>
          <w:sz w:val="32"/>
          <w:szCs w:val="32"/>
          <w:highlight w:val="none"/>
          <w:lang w:val="en-US" w:eastAsia="zh-CN" w:bidi="ar-SA"/>
        </w:rPr>
        <w:t>，决算数大于年初预算数的主要原因是存在自收自支人员各项工资福利等支出未纳入年初预算。</w:t>
      </w:r>
    </w:p>
    <w:p>
      <w:pPr>
        <w:pStyle w:val="7"/>
        <w:keepNext w:val="0"/>
        <w:keepLines w:val="0"/>
        <w:widowControl/>
        <w:suppressLineNumbers w:val="0"/>
        <w:spacing w:before="0" w:beforeAutospacing="0" w:after="0" w:afterAutospacing="0" w:line="33" w:lineRule="atLeast"/>
        <w:ind w:firstLine="640" w:firstLineChars="200"/>
        <w:jc w:val="both"/>
        <w:rPr>
          <w:rFonts w:hint="eastAsia" w:cs="黑体" w:asciiTheme="minorEastAsia" w:hAnsiTheme="minorEastAsia" w:eastAsiaTheme="minorEastAsia"/>
          <w:color w:val="auto"/>
          <w:kern w:val="0"/>
          <w:sz w:val="32"/>
          <w:szCs w:val="32"/>
          <w:highlight w:val="none"/>
          <w:lang w:val="en-US" w:eastAsia="zh-CN" w:bidi="ar-SA"/>
        </w:rPr>
      </w:pPr>
      <w:r>
        <w:rPr>
          <w:rFonts w:hint="eastAsia" w:cs="黑体" w:asciiTheme="minorEastAsia" w:hAnsiTheme="minorEastAsia" w:eastAsiaTheme="minorEastAsia"/>
          <w:color w:val="auto"/>
          <w:kern w:val="0"/>
          <w:sz w:val="32"/>
          <w:szCs w:val="32"/>
          <w:highlight w:val="none"/>
          <w:lang w:val="en-US" w:eastAsia="zh-CN" w:bidi="ar-SA"/>
        </w:rPr>
        <w:t>1</w:t>
      </w:r>
      <w:r>
        <w:rPr>
          <w:rFonts w:hint="eastAsia" w:cs="黑体" w:asciiTheme="minorEastAsia" w:hAnsiTheme="minorEastAsia"/>
          <w:color w:val="auto"/>
          <w:kern w:val="0"/>
          <w:sz w:val="32"/>
          <w:szCs w:val="32"/>
          <w:highlight w:val="none"/>
          <w:lang w:val="en-US" w:eastAsia="zh-CN" w:bidi="ar-SA"/>
        </w:rPr>
        <w:t>1</w:t>
      </w:r>
      <w:r>
        <w:rPr>
          <w:rFonts w:hint="eastAsia" w:cs="黑体" w:asciiTheme="minorEastAsia" w:hAnsiTheme="minorEastAsia" w:eastAsiaTheme="minorEastAsia"/>
          <w:color w:val="auto"/>
          <w:kern w:val="0"/>
          <w:sz w:val="32"/>
          <w:szCs w:val="32"/>
          <w:highlight w:val="none"/>
          <w:lang w:val="en-US" w:eastAsia="zh-CN" w:bidi="ar-SA"/>
        </w:rPr>
        <w:t>、卫生健康支出（类）卫生健康管理事务（款） 其他卫生健康管理事务支出（项）年初预算安排</w:t>
      </w:r>
      <w:r>
        <w:rPr>
          <w:rFonts w:hint="eastAsia" w:cs="黑体" w:asciiTheme="minorEastAsia" w:hAnsiTheme="minorEastAsia"/>
          <w:color w:val="auto"/>
          <w:kern w:val="0"/>
          <w:sz w:val="32"/>
          <w:szCs w:val="32"/>
          <w:highlight w:val="none"/>
          <w:lang w:val="en-US" w:eastAsia="zh-CN" w:bidi="ar-SA"/>
        </w:rPr>
        <w:t>178.07</w:t>
      </w:r>
      <w:r>
        <w:rPr>
          <w:rFonts w:hint="eastAsia" w:cs="黑体" w:asciiTheme="minorEastAsia" w:hAnsiTheme="minorEastAsia" w:eastAsiaTheme="minorEastAsia"/>
          <w:color w:val="auto"/>
          <w:kern w:val="0"/>
          <w:sz w:val="32"/>
          <w:szCs w:val="32"/>
          <w:highlight w:val="none"/>
          <w:lang w:val="en-US" w:eastAsia="zh-CN" w:bidi="ar-SA"/>
        </w:rPr>
        <w:t>万元，支出决算</w:t>
      </w:r>
      <w:r>
        <w:rPr>
          <w:rFonts w:hint="eastAsia" w:cs="黑体" w:asciiTheme="minorEastAsia" w:hAnsiTheme="minorEastAsia"/>
          <w:color w:val="auto"/>
          <w:kern w:val="0"/>
          <w:sz w:val="32"/>
          <w:szCs w:val="32"/>
          <w:highlight w:val="none"/>
          <w:lang w:val="en-US" w:eastAsia="zh-CN" w:bidi="ar-SA"/>
        </w:rPr>
        <w:t>203.96</w:t>
      </w:r>
      <w:r>
        <w:rPr>
          <w:rFonts w:hint="eastAsia" w:cs="黑体" w:asciiTheme="minorEastAsia" w:hAnsiTheme="minorEastAsia" w:eastAsiaTheme="minorEastAsia"/>
          <w:color w:val="auto"/>
          <w:kern w:val="0"/>
          <w:sz w:val="32"/>
          <w:szCs w:val="32"/>
          <w:highlight w:val="none"/>
          <w:lang w:val="en-US" w:eastAsia="zh-CN" w:bidi="ar-SA"/>
        </w:rPr>
        <w:t>万元，完成预算</w:t>
      </w:r>
      <w:r>
        <w:rPr>
          <w:rFonts w:hint="eastAsia" w:cs="黑体" w:asciiTheme="minorEastAsia" w:hAnsiTheme="minorEastAsia"/>
          <w:color w:val="auto"/>
          <w:kern w:val="0"/>
          <w:sz w:val="32"/>
          <w:szCs w:val="32"/>
          <w:highlight w:val="none"/>
          <w:lang w:val="en-US" w:eastAsia="zh-CN" w:bidi="ar-SA"/>
        </w:rPr>
        <w:t>114.54</w:t>
      </w:r>
      <w:r>
        <w:rPr>
          <w:rFonts w:hint="eastAsia" w:cs="黑体" w:asciiTheme="minorEastAsia" w:hAnsiTheme="minorEastAsia" w:eastAsiaTheme="minorEastAsia"/>
          <w:color w:val="auto"/>
          <w:kern w:val="0"/>
          <w:sz w:val="32"/>
          <w:szCs w:val="32"/>
          <w:highlight w:val="none"/>
          <w:lang w:val="en-US" w:eastAsia="zh-CN" w:bidi="ar-SA"/>
        </w:rPr>
        <w:t>%</w:t>
      </w:r>
      <w:r>
        <w:rPr>
          <w:rFonts w:hint="eastAsia" w:cs="黑体" w:asciiTheme="minorEastAsia" w:hAnsiTheme="minorEastAsia"/>
          <w:color w:val="auto"/>
          <w:kern w:val="0"/>
          <w:sz w:val="32"/>
          <w:szCs w:val="32"/>
          <w:highlight w:val="none"/>
          <w:lang w:val="en-US" w:eastAsia="zh-CN" w:bidi="ar-SA"/>
        </w:rPr>
        <w:t>，决算数大于年初预算数的主要原因是考试考务费实际支出大于年初预算非税收入成本返还数。</w:t>
      </w:r>
    </w:p>
    <w:p>
      <w:pPr>
        <w:keepNext w:val="0"/>
        <w:keepLines w:val="0"/>
        <w:pageBreakBefore w:val="0"/>
        <w:widowControl/>
        <w:numPr>
          <w:ilvl w:val="0"/>
          <w:numId w:val="0"/>
        </w:numPr>
        <w:kinsoku/>
        <w:wordWrap/>
        <w:overflowPunct/>
        <w:topLinePunct w:val="0"/>
        <w:bidi w:val="0"/>
        <w:adjustRightInd/>
        <w:snapToGrid/>
        <w:spacing w:line="600" w:lineRule="exact"/>
        <w:ind w:firstLine="640" w:firstLineChars="200"/>
        <w:textAlignment w:val="auto"/>
        <w:rPr>
          <w:rFonts w:hint="eastAsia" w:cs="黑体" w:asciiTheme="minorEastAsia" w:hAnsiTheme="minorEastAsia" w:eastAsiaTheme="minorEastAsia"/>
          <w:color w:val="auto"/>
          <w:kern w:val="0"/>
          <w:sz w:val="32"/>
          <w:szCs w:val="32"/>
          <w:highlight w:val="none"/>
          <w:lang w:val="en-US" w:eastAsia="zh-CN" w:bidi="ar-SA"/>
        </w:rPr>
      </w:pPr>
      <w:r>
        <w:rPr>
          <w:rFonts w:hint="eastAsia" w:cs="黑体" w:asciiTheme="minorEastAsia" w:hAnsiTheme="minorEastAsia" w:eastAsiaTheme="minorEastAsia"/>
          <w:color w:val="auto"/>
          <w:kern w:val="0"/>
          <w:sz w:val="32"/>
          <w:szCs w:val="32"/>
          <w:highlight w:val="none"/>
          <w:lang w:val="en-US" w:eastAsia="zh-CN" w:bidi="ar-SA"/>
        </w:rPr>
        <w:t>1</w:t>
      </w:r>
      <w:r>
        <w:rPr>
          <w:rFonts w:hint="eastAsia" w:cs="黑体" w:asciiTheme="minorEastAsia" w:hAnsiTheme="minorEastAsia"/>
          <w:color w:val="auto"/>
          <w:kern w:val="0"/>
          <w:sz w:val="32"/>
          <w:szCs w:val="32"/>
          <w:highlight w:val="none"/>
          <w:lang w:val="en-US" w:eastAsia="zh-CN" w:bidi="ar-SA"/>
        </w:rPr>
        <w:t>2</w:t>
      </w:r>
      <w:r>
        <w:rPr>
          <w:rFonts w:hint="eastAsia" w:cs="黑体" w:asciiTheme="minorEastAsia" w:hAnsiTheme="minorEastAsia" w:eastAsiaTheme="minorEastAsia"/>
          <w:color w:val="auto"/>
          <w:kern w:val="0"/>
          <w:sz w:val="32"/>
          <w:szCs w:val="32"/>
          <w:highlight w:val="none"/>
          <w:lang w:val="en-US" w:eastAsia="zh-CN" w:bidi="ar-SA"/>
        </w:rPr>
        <w:t>、卫生健康支出（类）公共卫生（款）重大公共卫生服务（项）</w:t>
      </w:r>
      <w:r>
        <w:rPr>
          <w:rFonts w:hint="eastAsia" w:ascii="宋体" w:eastAsia="宋体"/>
          <w:color w:val="auto"/>
          <w:sz w:val="32"/>
          <w:szCs w:val="32"/>
          <w:highlight w:val="none"/>
        </w:rPr>
        <w:t>年初预算为</w:t>
      </w:r>
      <w:r>
        <w:rPr>
          <w:rFonts w:hint="eastAsia" w:ascii="宋体" w:eastAsia="宋体"/>
          <w:color w:val="auto"/>
          <w:sz w:val="32"/>
          <w:szCs w:val="32"/>
          <w:highlight w:val="none"/>
          <w:lang w:val="en-US" w:eastAsia="zh-CN"/>
        </w:rPr>
        <w:t>0</w:t>
      </w:r>
      <w:r>
        <w:rPr>
          <w:rFonts w:hint="eastAsia" w:ascii="宋体" w:eastAsia="宋体"/>
          <w:color w:val="auto"/>
          <w:sz w:val="32"/>
          <w:szCs w:val="32"/>
          <w:highlight w:val="none"/>
        </w:rPr>
        <w:t>万元，</w:t>
      </w:r>
      <w:r>
        <w:rPr>
          <w:rFonts w:hint="eastAsia" w:cs="黑体" w:asciiTheme="minorEastAsia" w:hAnsiTheme="minorEastAsia" w:eastAsiaTheme="minorEastAsia"/>
          <w:color w:val="auto"/>
          <w:kern w:val="0"/>
          <w:sz w:val="32"/>
          <w:szCs w:val="32"/>
          <w:highlight w:val="none"/>
          <w:lang w:val="en-US" w:eastAsia="zh-CN" w:bidi="ar-SA"/>
        </w:rPr>
        <w:t>支出决算</w:t>
      </w:r>
      <w:r>
        <w:rPr>
          <w:rFonts w:hint="eastAsia" w:cs="黑体" w:asciiTheme="minorEastAsia" w:hAnsiTheme="minorEastAsia"/>
          <w:color w:val="auto"/>
          <w:kern w:val="0"/>
          <w:sz w:val="32"/>
          <w:szCs w:val="32"/>
          <w:highlight w:val="none"/>
          <w:lang w:val="en-US" w:eastAsia="zh-CN" w:bidi="ar-SA"/>
        </w:rPr>
        <w:t>36.06</w:t>
      </w:r>
      <w:r>
        <w:rPr>
          <w:rFonts w:hint="eastAsia" w:cs="黑体" w:asciiTheme="minorEastAsia" w:hAnsiTheme="minorEastAsia" w:eastAsiaTheme="minorEastAsia"/>
          <w:color w:val="auto"/>
          <w:kern w:val="0"/>
          <w:sz w:val="32"/>
          <w:szCs w:val="32"/>
          <w:highlight w:val="none"/>
          <w:lang w:val="en-US" w:eastAsia="zh-CN" w:bidi="ar-SA"/>
        </w:rPr>
        <w:t>万元，</w:t>
      </w:r>
      <w:r>
        <w:rPr>
          <w:rFonts w:hint="eastAsia" w:asciiTheme="minorEastAsia" w:hAnsiTheme="minorEastAsia" w:eastAsiaTheme="minorEastAsia"/>
          <w:color w:val="auto"/>
          <w:sz w:val="32"/>
          <w:szCs w:val="32"/>
          <w:highlight w:val="none"/>
          <w:lang w:eastAsia="zh-CN"/>
        </w:rPr>
        <w:t>由于预算数为</w:t>
      </w:r>
      <w:r>
        <w:rPr>
          <w:rFonts w:hint="eastAsia" w:asciiTheme="minorEastAsia" w:hAnsiTheme="minorEastAsia" w:eastAsiaTheme="minorEastAsia"/>
          <w:color w:val="auto"/>
          <w:sz w:val="32"/>
          <w:szCs w:val="32"/>
          <w:highlight w:val="none"/>
          <w:lang w:val="en-US" w:eastAsia="zh-CN"/>
        </w:rPr>
        <w:t>0，无法计算百分比，支出决算大于预算的原因是</w:t>
      </w:r>
      <w:r>
        <w:rPr>
          <w:rFonts w:hint="eastAsia" w:cs="黑体" w:asciiTheme="minorEastAsia" w:hAnsiTheme="minorEastAsia"/>
          <w:color w:val="auto"/>
          <w:kern w:val="0"/>
          <w:sz w:val="32"/>
          <w:szCs w:val="32"/>
          <w:highlight w:val="none"/>
          <w:lang w:val="en-US" w:eastAsia="zh-CN" w:bidi="ar-SA"/>
        </w:rPr>
        <w:t>因为上年度有项目结转资金，且当年度项目延伸到下年，主要</w:t>
      </w:r>
      <w:r>
        <w:rPr>
          <w:rFonts w:hint="eastAsia" w:cs="黑体" w:asciiTheme="minorEastAsia" w:hAnsiTheme="minorEastAsia" w:eastAsiaTheme="minorEastAsia"/>
          <w:color w:val="auto"/>
          <w:kern w:val="0"/>
          <w:sz w:val="32"/>
          <w:szCs w:val="32"/>
          <w:highlight w:val="none"/>
          <w:lang w:val="en-US" w:eastAsia="zh-CN" w:bidi="ar-SA"/>
        </w:rPr>
        <w:t>为中央和省安排的各项重大公卫资金。</w:t>
      </w:r>
    </w:p>
    <w:p>
      <w:pPr>
        <w:pStyle w:val="14"/>
        <w:ind w:firstLine="640" w:firstLineChars="200"/>
        <w:rPr>
          <w:rFonts w:hint="eastAsia" w:ascii="宋体" w:eastAsia="宋体"/>
          <w:color w:val="auto"/>
          <w:sz w:val="32"/>
          <w:szCs w:val="32"/>
          <w:highlight w:val="none"/>
          <w:lang w:eastAsia="zh-CN"/>
        </w:rPr>
      </w:pPr>
      <w:r>
        <w:rPr>
          <w:rFonts w:hint="eastAsia" w:cs="黑体" w:asciiTheme="minorEastAsia" w:hAnsiTheme="minorEastAsia" w:eastAsiaTheme="minorEastAsia"/>
          <w:color w:val="auto"/>
          <w:kern w:val="0"/>
          <w:sz w:val="32"/>
          <w:szCs w:val="32"/>
          <w:highlight w:val="none"/>
          <w:lang w:val="en-US" w:eastAsia="zh-CN" w:bidi="ar-SA"/>
        </w:rPr>
        <w:t>1</w:t>
      </w:r>
      <w:r>
        <w:rPr>
          <w:rFonts w:hint="eastAsia" w:cs="黑体" w:asciiTheme="minorEastAsia" w:hAnsiTheme="minorEastAsia"/>
          <w:color w:val="auto"/>
          <w:kern w:val="0"/>
          <w:sz w:val="32"/>
          <w:szCs w:val="32"/>
          <w:highlight w:val="none"/>
          <w:lang w:val="en-US" w:eastAsia="zh-CN" w:bidi="ar-SA"/>
        </w:rPr>
        <w:t>3</w:t>
      </w:r>
      <w:r>
        <w:rPr>
          <w:rFonts w:hint="eastAsia" w:cs="黑体" w:asciiTheme="minorEastAsia" w:hAnsiTheme="minorEastAsia" w:eastAsiaTheme="minorEastAsia"/>
          <w:color w:val="auto"/>
          <w:kern w:val="0"/>
          <w:sz w:val="32"/>
          <w:szCs w:val="32"/>
          <w:highlight w:val="none"/>
          <w:lang w:val="en-US" w:eastAsia="zh-CN" w:bidi="ar-SA"/>
        </w:rPr>
        <w:t>、卫生健康支出（类）公共卫生（款） 突发公共卫生事件应急处理（项）</w:t>
      </w:r>
      <w:r>
        <w:rPr>
          <w:rFonts w:hint="eastAsia" w:ascii="宋体" w:eastAsia="宋体"/>
          <w:color w:val="auto"/>
          <w:sz w:val="32"/>
          <w:szCs w:val="32"/>
          <w:highlight w:val="none"/>
        </w:rPr>
        <w:t>年初预算为</w:t>
      </w:r>
      <w:r>
        <w:rPr>
          <w:rFonts w:hint="eastAsia" w:ascii="宋体" w:eastAsia="宋体"/>
          <w:color w:val="auto"/>
          <w:sz w:val="32"/>
          <w:szCs w:val="32"/>
          <w:highlight w:val="none"/>
          <w:lang w:val="en-US" w:eastAsia="zh-CN"/>
        </w:rPr>
        <w:t>0</w:t>
      </w:r>
      <w:r>
        <w:rPr>
          <w:rFonts w:hint="eastAsia" w:ascii="宋体" w:eastAsia="宋体"/>
          <w:color w:val="auto"/>
          <w:sz w:val="32"/>
          <w:szCs w:val="32"/>
          <w:highlight w:val="none"/>
        </w:rPr>
        <w:t>万元，</w:t>
      </w:r>
      <w:r>
        <w:rPr>
          <w:rFonts w:hint="eastAsia" w:cs="黑体" w:asciiTheme="minorEastAsia" w:hAnsiTheme="minorEastAsia" w:eastAsiaTheme="minorEastAsia"/>
          <w:color w:val="auto"/>
          <w:kern w:val="0"/>
          <w:sz w:val="32"/>
          <w:szCs w:val="32"/>
          <w:highlight w:val="none"/>
          <w:lang w:val="en-US" w:eastAsia="zh-CN" w:bidi="ar-SA"/>
        </w:rPr>
        <w:t>支出决算</w:t>
      </w:r>
      <w:r>
        <w:rPr>
          <w:rFonts w:hint="eastAsia" w:cs="黑体" w:asciiTheme="minorEastAsia" w:hAnsiTheme="minorEastAsia"/>
          <w:color w:val="auto"/>
          <w:kern w:val="0"/>
          <w:sz w:val="32"/>
          <w:szCs w:val="32"/>
          <w:highlight w:val="none"/>
          <w:lang w:val="en-US" w:eastAsia="zh-CN" w:bidi="ar-SA"/>
        </w:rPr>
        <w:t>10</w:t>
      </w:r>
      <w:r>
        <w:rPr>
          <w:rFonts w:hint="eastAsia" w:cs="黑体" w:asciiTheme="minorEastAsia" w:hAnsiTheme="minorEastAsia" w:eastAsiaTheme="minorEastAsia"/>
          <w:color w:val="auto"/>
          <w:kern w:val="0"/>
          <w:sz w:val="32"/>
          <w:szCs w:val="32"/>
          <w:highlight w:val="none"/>
          <w:lang w:val="en-US" w:eastAsia="zh-CN" w:bidi="ar-SA"/>
        </w:rPr>
        <w:t>万元，</w:t>
      </w:r>
      <w:r>
        <w:rPr>
          <w:rFonts w:hint="eastAsia" w:asciiTheme="minorEastAsia" w:hAnsiTheme="minorEastAsia" w:eastAsiaTheme="minorEastAsia"/>
          <w:color w:val="auto"/>
          <w:sz w:val="32"/>
          <w:szCs w:val="32"/>
          <w:highlight w:val="none"/>
          <w:lang w:eastAsia="zh-CN"/>
        </w:rPr>
        <w:t>由于预算数为</w:t>
      </w:r>
      <w:r>
        <w:rPr>
          <w:rFonts w:hint="eastAsia" w:asciiTheme="minorEastAsia" w:hAnsiTheme="minorEastAsia" w:eastAsiaTheme="minorEastAsia"/>
          <w:color w:val="auto"/>
          <w:sz w:val="32"/>
          <w:szCs w:val="32"/>
          <w:highlight w:val="none"/>
          <w:lang w:val="en-US" w:eastAsia="zh-CN"/>
        </w:rPr>
        <w:t>0，无法计算百分比，</w:t>
      </w:r>
      <w:r>
        <w:rPr>
          <w:rFonts w:hint="eastAsia" w:ascii="宋体" w:eastAsia="宋体"/>
          <w:color w:val="auto"/>
          <w:sz w:val="32"/>
          <w:szCs w:val="32"/>
          <w:highlight w:val="none"/>
        </w:rPr>
        <w:t>决算数大于年初预算数的主要原因是：</w:t>
      </w:r>
      <w:r>
        <w:rPr>
          <w:rFonts w:hint="eastAsia" w:ascii="宋体" w:eastAsia="宋体"/>
          <w:color w:val="auto"/>
          <w:sz w:val="32"/>
          <w:szCs w:val="32"/>
          <w:highlight w:val="none"/>
          <w:lang w:eastAsia="zh-CN"/>
        </w:rPr>
        <w:t>结转上年上级补助新冠肺炎防控专项资金，在本年度支出，未纳入年初预算。</w:t>
      </w:r>
    </w:p>
    <w:p>
      <w:pPr>
        <w:pStyle w:val="14"/>
        <w:ind w:firstLine="640" w:firstLineChars="200"/>
        <w:rPr>
          <w:rFonts w:hint="eastAsia" w:cs="黑体" w:asciiTheme="minorEastAsia" w:hAnsiTheme="minorEastAsia" w:eastAsiaTheme="minorEastAsia"/>
          <w:color w:val="auto"/>
          <w:kern w:val="0"/>
          <w:sz w:val="32"/>
          <w:szCs w:val="32"/>
          <w:highlight w:val="none"/>
          <w:lang w:val="en-US" w:eastAsia="zh-CN" w:bidi="ar-SA"/>
        </w:rPr>
      </w:pPr>
      <w:r>
        <w:rPr>
          <w:rFonts w:hint="eastAsia" w:cs="黑体" w:asciiTheme="minorEastAsia" w:hAnsiTheme="minorEastAsia"/>
          <w:color w:val="auto"/>
          <w:kern w:val="0"/>
          <w:sz w:val="32"/>
          <w:szCs w:val="32"/>
          <w:highlight w:val="none"/>
          <w:lang w:val="en-US" w:eastAsia="zh-CN" w:bidi="ar-SA"/>
        </w:rPr>
        <w:t>14</w:t>
      </w:r>
      <w:r>
        <w:rPr>
          <w:rFonts w:hint="eastAsia" w:cs="黑体" w:asciiTheme="minorEastAsia" w:hAnsiTheme="minorEastAsia" w:eastAsiaTheme="minorEastAsia"/>
          <w:color w:val="auto"/>
          <w:kern w:val="0"/>
          <w:sz w:val="32"/>
          <w:szCs w:val="32"/>
          <w:highlight w:val="none"/>
          <w:lang w:val="en-US" w:eastAsia="zh-CN" w:bidi="ar-SA"/>
        </w:rPr>
        <w:t>、卫生健康支出（类）公共卫生（款）其他公共卫生支出（项）年初预算0万元，支出决算101.79万元，</w:t>
      </w:r>
      <w:r>
        <w:rPr>
          <w:rFonts w:hint="eastAsia" w:asciiTheme="minorEastAsia" w:hAnsiTheme="minorEastAsia" w:eastAsiaTheme="minorEastAsia"/>
          <w:color w:val="auto"/>
          <w:sz w:val="32"/>
          <w:szCs w:val="32"/>
          <w:highlight w:val="none"/>
          <w:lang w:eastAsia="zh-CN"/>
        </w:rPr>
        <w:t>由于预算数为</w:t>
      </w:r>
      <w:r>
        <w:rPr>
          <w:rFonts w:hint="eastAsia" w:asciiTheme="minorEastAsia" w:hAnsiTheme="minorEastAsia" w:eastAsiaTheme="minorEastAsia"/>
          <w:color w:val="auto"/>
          <w:sz w:val="32"/>
          <w:szCs w:val="32"/>
          <w:highlight w:val="none"/>
          <w:lang w:val="en-US" w:eastAsia="zh-CN"/>
        </w:rPr>
        <w:t>0，无法计算百分比，</w:t>
      </w:r>
      <w:r>
        <w:rPr>
          <w:rFonts w:hint="eastAsia" w:ascii="宋体" w:eastAsia="宋体"/>
          <w:color w:val="auto"/>
          <w:sz w:val="32"/>
          <w:szCs w:val="32"/>
          <w:highlight w:val="none"/>
        </w:rPr>
        <w:t>决算数大于年初预算数的主要原因是：</w:t>
      </w:r>
      <w:r>
        <w:rPr>
          <w:rFonts w:hint="eastAsia" w:ascii="宋体" w:eastAsia="宋体"/>
          <w:color w:val="auto"/>
          <w:sz w:val="32"/>
          <w:szCs w:val="32"/>
          <w:highlight w:val="none"/>
          <w:lang w:eastAsia="zh-CN"/>
        </w:rPr>
        <w:t>资金系上年度结转，项目两年内完结，在本年度支付，未纳入年初预算。主要包括血吸虫病防治工作、疫情防控工作、老龄健康工作等支出</w:t>
      </w:r>
      <w:r>
        <w:rPr>
          <w:rFonts w:hint="eastAsia" w:cs="黑体" w:asciiTheme="minorEastAsia" w:hAnsiTheme="minorEastAsia" w:eastAsiaTheme="minorEastAsia"/>
          <w:color w:val="auto"/>
          <w:kern w:val="0"/>
          <w:sz w:val="32"/>
          <w:szCs w:val="32"/>
          <w:highlight w:val="none"/>
          <w:lang w:val="en-US" w:eastAsia="zh-CN" w:bidi="ar-SA"/>
        </w:rPr>
        <w:br w:type="textWrapping"/>
      </w:r>
      <w:r>
        <w:rPr>
          <w:rFonts w:hint="eastAsia" w:cs="黑体" w:asciiTheme="minorEastAsia" w:hAnsiTheme="minorEastAsia"/>
          <w:color w:val="auto"/>
          <w:kern w:val="0"/>
          <w:sz w:val="32"/>
          <w:szCs w:val="32"/>
          <w:highlight w:val="none"/>
          <w:lang w:val="en-US" w:eastAsia="zh-CN" w:bidi="ar-SA"/>
        </w:rPr>
        <w:t xml:space="preserve">  15</w:t>
      </w:r>
      <w:r>
        <w:rPr>
          <w:rFonts w:hint="eastAsia" w:cs="黑体" w:asciiTheme="minorEastAsia" w:hAnsiTheme="minorEastAsia" w:eastAsiaTheme="minorEastAsia"/>
          <w:color w:val="auto"/>
          <w:kern w:val="0"/>
          <w:sz w:val="32"/>
          <w:szCs w:val="32"/>
          <w:highlight w:val="none"/>
          <w:lang w:val="en-US" w:eastAsia="zh-CN" w:bidi="ar-SA"/>
        </w:rPr>
        <w:t>、卫生健康支出（类）计划生育事务（款）计划生育服务（项）年初安排预算</w:t>
      </w:r>
      <w:r>
        <w:rPr>
          <w:rFonts w:hint="eastAsia" w:cs="黑体" w:asciiTheme="minorEastAsia" w:hAnsiTheme="minorEastAsia"/>
          <w:color w:val="auto"/>
          <w:kern w:val="0"/>
          <w:sz w:val="32"/>
          <w:szCs w:val="32"/>
          <w:highlight w:val="none"/>
          <w:lang w:val="en-US" w:eastAsia="zh-CN" w:bidi="ar-SA"/>
        </w:rPr>
        <w:t>0</w:t>
      </w:r>
      <w:r>
        <w:rPr>
          <w:rFonts w:hint="eastAsia" w:cs="黑体" w:asciiTheme="minorEastAsia" w:hAnsiTheme="minorEastAsia" w:eastAsiaTheme="minorEastAsia"/>
          <w:color w:val="auto"/>
          <w:kern w:val="0"/>
          <w:sz w:val="32"/>
          <w:szCs w:val="32"/>
          <w:highlight w:val="none"/>
          <w:lang w:val="en-US" w:eastAsia="zh-CN" w:bidi="ar-SA"/>
        </w:rPr>
        <w:t>万元</w:t>
      </w:r>
      <w:r>
        <w:rPr>
          <w:rFonts w:hint="eastAsia" w:cs="黑体" w:asciiTheme="minorEastAsia" w:hAnsiTheme="minorEastAsia"/>
          <w:color w:val="auto"/>
          <w:kern w:val="0"/>
          <w:sz w:val="32"/>
          <w:szCs w:val="32"/>
          <w:highlight w:val="none"/>
          <w:lang w:val="en-US" w:eastAsia="zh-CN" w:bidi="ar-SA"/>
        </w:rPr>
        <w:t>，</w:t>
      </w:r>
      <w:r>
        <w:rPr>
          <w:rFonts w:hint="eastAsia" w:cs="黑体" w:asciiTheme="minorEastAsia" w:hAnsiTheme="minorEastAsia" w:eastAsiaTheme="minorEastAsia"/>
          <w:color w:val="auto"/>
          <w:kern w:val="0"/>
          <w:sz w:val="32"/>
          <w:szCs w:val="32"/>
          <w:highlight w:val="none"/>
          <w:lang w:val="en-US" w:eastAsia="zh-CN" w:bidi="ar-SA"/>
        </w:rPr>
        <w:t>支出决算</w:t>
      </w:r>
      <w:r>
        <w:rPr>
          <w:rFonts w:hint="eastAsia" w:cs="黑体" w:asciiTheme="minorEastAsia" w:hAnsiTheme="minorEastAsia"/>
          <w:color w:val="auto"/>
          <w:kern w:val="0"/>
          <w:sz w:val="32"/>
          <w:szCs w:val="32"/>
          <w:highlight w:val="none"/>
          <w:lang w:val="en-US" w:eastAsia="zh-CN" w:bidi="ar-SA"/>
        </w:rPr>
        <w:t>10</w:t>
      </w:r>
      <w:r>
        <w:rPr>
          <w:rFonts w:hint="eastAsia" w:cs="黑体" w:asciiTheme="minorEastAsia" w:hAnsiTheme="minorEastAsia" w:eastAsiaTheme="minorEastAsia"/>
          <w:color w:val="auto"/>
          <w:kern w:val="0"/>
          <w:sz w:val="32"/>
          <w:szCs w:val="32"/>
          <w:highlight w:val="none"/>
          <w:lang w:val="en-US" w:eastAsia="zh-CN" w:bidi="ar-SA"/>
        </w:rPr>
        <w:t>万元，</w:t>
      </w:r>
      <w:r>
        <w:rPr>
          <w:rFonts w:hint="eastAsia" w:asciiTheme="minorEastAsia" w:hAnsiTheme="minorEastAsia" w:eastAsiaTheme="minorEastAsia"/>
          <w:color w:val="auto"/>
          <w:sz w:val="32"/>
          <w:szCs w:val="32"/>
          <w:highlight w:val="none"/>
          <w:lang w:eastAsia="zh-CN"/>
        </w:rPr>
        <w:t>由于预算数为</w:t>
      </w:r>
      <w:r>
        <w:rPr>
          <w:rFonts w:hint="eastAsia" w:asciiTheme="minorEastAsia" w:hAnsiTheme="minorEastAsia" w:eastAsiaTheme="minorEastAsia"/>
          <w:color w:val="auto"/>
          <w:sz w:val="32"/>
          <w:szCs w:val="32"/>
          <w:highlight w:val="none"/>
          <w:lang w:val="en-US" w:eastAsia="zh-CN"/>
        </w:rPr>
        <w:t>0，无法计算百分比，</w:t>
      </w:r>
      <w:r>
        <w:rPr>
          <w:rFonts w:hint="eastAsia" w:ascii="宋体" w:eastAsia="宋体"/>
          <w:color w:val="auto"/>
          <w:sz w:val="32"/>
          <w:szCs w:val="32"/>
          <w:highlight w:val="none"/>
        </w:rPr>
        <w:t>决算数大于年初预算数的主要原因是：</w:t>
      </w:r>
      <w:r>
        <w:rPr>
          <w:rFonts w:hint="eastAsia" w:ascii="宋体" w:eastAsia="宋体"/>
          <w:color w:val="auto"/>
          <w:sz w:val="32"/>
          <w:szCs w:val="32"/>
          <w:highlight w:val="none"/>
          <w:lang w:eastAsia="zh-CN"/>
        </w:rPr>
        <w:t>上年结转资金，未纳入年初预算，本年度拨付市计生协户，</w:t>
      </w:r>
      <w:r>
        <w:rPr>
          <w:rFonts w:hint="eastAsia" w:cs="黑体" w:asciiTheme="minorEastAsia" w:hAnsiTheme="minorEastAsia" w:eastAsiaTheme="minorEastAsia"/>
          <w:color w:val="auto"/>
          <w:kern w:val="0"/>
          <w:sz w:val="32"/>
          <w:szCs w:val="32"/>
          <w:highlight w:val="none"/>
          <w:lang w:val="en-US" w:eastAsia="zh-CN" w:bidi="ar-SA"/>
        </w:rPr>
        <w:t>主要用于对计生特困家庭的补助、计划生育公共服务、能力建设、管理运行等各项开支。</w:t>
      </w:r>
    </w:p>
    <w:p>
      <w:pPr>
        <w:pStyle w:val="7"/>
        <w:keepNext w:val="0"/>
        <w:keepLines w:val="0"/>
        <w:widowControl/>
        <w:suppressLineNumbers w:val="0"/>
        <w:spacing w:before="0" w:beforeAutospacing="0" w:after="0" w:afterAutospacing="0" w:line="33" w:lineRule="atLeast"/>
        <w:ind w:firstLine="640" w:firstLineChars="200"/>
        <w:jc w:val="both"/>
        <w:rPr>
          <w:rFonts w:hint="eastAsia" w:cs="黑体" w:asciiTheme="minorEastAsia" w:hAnsiTheme="minorEastAsia" w:eastAsiaTheme="minorEastAsia"/>
          <w:color w:val="auto"/>
          <w:kern w:val="0"/>
          <w:sz w:val="32"/>
          <w:szCs w:val="32"/>
          <w:highlight w:val="none"/>
          <w:lang w:val="en-US" w:eastAsia="zh-CN" w:bidi="ar-SA"/>
        </w:rPr>
      </w:pPr>
      <w:r>
        <w:rPr>
          <w:rFonts w:hint="eastAsia" w:cs="黑体" w:asciiTheme="minorEastAsia" w:hAnsiTheme="minorEastAsia"/>
          <w:color w:val="auto"/>
          <w:kern w:val="0"/>
          <w:sz w:val="32"/>
          <w:szCs w:val="32"/>
          <w:highlight w:val="none"/>
          <w:lang w:val="en-US" w:eastAsia="zh-CN" w:bidi="ar-SA"/>
        </w:rPr>
        <w:t>16</w:t>
      </w:r>
      <w:r>
        <w:rPr>
          <w:rFonts w:hint="eastAsia" w:cs="黑体" w:asciiTheme="minorEastAsia" w:hAnsiTheme="minorEastAsia" w:eastAsiaTheme="minorEastAsia"/>
          <w:color w:val="auto"/>
          <w:kern w:val="0"/>
          <w:sz w:val="32"/>
          <w:szCs w:val="32"/>
          <w:highlight w:val="none"/>
          <w:lang w:val="en-US" w:eastAsia="zh-CN" w:bidi="ar-SA"/>
        </w:rPr>
        <w:t>、卫生健康支出（类）计划生育事务（款）其他计划生育服务（项）支出决算</w:t>
      </w:r>
      <w:r>
        <w:rPr>
          <w:rFonts w:hint="eastAsia" w:cs="黑体" w:asciiTheme="minorEastAsia" w:hAnsiTheme="minorEastAsia"/>
          <w:color w:val="auto"/>
          <w:kern w:val="0"/>
          <w:sz w:val="32"/>
          <w:szCs w:val="32"/>
          <w:highlight w:val="none"/>
          <w:lang w:val="en-US" w:eastAsia="zh-CN" w:bidi="ar-SA"/>
        </w:rPr>
        <w:t>1059.47</w:t>
      </w:r>
      <w:r>
        <w:rPr>
          <w:rFonts w:hint="eastAsia" w:cs="黑体" w:asciiTheme="minorEastAsia" w:hAnsiTheme="minorEastAsia" w:eastAsiaTheme="minorEastAsia"/>
          <w:color w:val="auto"/>
          <w:kern w:val="0"/>
          <w:sz w:val="32"/>
          <w:szCs w:val="32"/>
          <w:highlight w:val="none"/>
          <w:lang w:val="en-US" w:eastAsia="zh-CN" w:bidi="ar-SA"/>
        </w:rPr>
        <w:t>万元，年初安排预算</w:t>
      </w:r>
      <w:r>
        <w:rPr>
          <w:rFonts w:hint="eastAsia" w:cs="黑体" w:asciiTheme="minorEastAsia" w:hAnsiTheme="minorEastAsia"/>
          <w:color w:val="auto"/>
          <w:kern w:val="0"/>
          <w:sz w:val="32"/>
          <w:szCs w:val="32"/>
          <w:highlight w:val="none"/>
          <w:lang w:val="en-US" w:eastAsia="zh-CN" w:bidi="ar-SA"/>
        </w:rPr>
        <w:t>0</w:t>
      </w:r>
      <w:r>
        <w:rPr>
          <w:rFonts w:hint="eastAsia" w:cs="黑体" w:asciiTheme="minorEastAsia" w:hAnsiTheme="minorEastAsia" w:eastAsiaTheme="minorEastAsia"/>
          <w:color w:val="auto"/>
          <w:kern w:val="0"/>
          <w:sz w:val="32"/>
          <w:szCs w:val="32"/>
          <w:highlight w:val="none"/>
          <w:lang w:val="en-US" w:eastAsia="zh-CN" w:bidi="ar-SA"/>
        </w:rPr>
        <w:t>万元，</w:t>
      </w:r>
      <w:r>
        <w:rPr>
          <w:rFonts w:hint="eastAsia" w:cs="黑体" w:asciiTheme="minorEastAsia" w:hAnsiTheme="minorEastAsia"/>
          <w:color w:val="auto"/>
          <w:kern w:val="0"/>
          <w:sz w:val="32"/>
          <w:szCs w:val="32"/>
          <w:highlight w:val="none"/>
          <w:lang w:val="en-US" w:eastAsia="zh-CN" w:bidi="ar-SA"/>
        </w:rPr>
        <w:t>年中安排416.3万元，上年结转643.15万元。</w:t>
      </w:r>
      <w:r>
        <w:rPr>
          <w:rFonts w:hint="eastAsia" w:asciiTheme="minorEastAsia" w:hAnsiTheme="minorEastAsia" w:eastAsiaTheme="minorEastAsia"/>
          <w:color w:val="auto"/>
          <w:sz w:val="32"/>
          <w:szCs w:val="32"/>
          <w:highlight w:val="none"/>
          <w:lang w:eastAsia="zh-CN"/>
        </w:rPr>
        <w:t>由于预算数为</w:t>
      </w:r>
      <w:r>
        <w:rPr>
          <w:rFonts w:hint="eastAsia" w:asciiTheme="minorEastAsia" w:hAnsiTheme="minorEastAsia" w:eastAsiaTheme="minorEastAsia"/>
          <w:color w:val="auto"/>
          <w:sz w:val="32"/>
          <w:szCs w:val="32"/>
          <w:highlight w:val="none"/>
          <w:lang w:val="en-US" w:eastAsia="zh-CN"/>
        </w:rPr>
        <w:t>0，无法计算百分比</w:t>
      </w:r>
      <w:r>
        <w:rPr>
          <w:rFonts w:hint="eastAsia" w:cs="黑体" w:asciiTheme="minorEastAsia" w:hAnsiTheme="minorEastAsia" w:eastAsiaTheme="minorEastAsia"/>
          <w:color w:val="auto"/>
          <w:kern w:val="0"/>
          <w:sz w:val="32"/>
          <w:szCs w:val="32"/>
          <w:highlight w:val="none"/>
          <w:lang w:val="en-US" w:eastAsia="zh-CN" w:bidi="ar-SA"/>
        </w:rPr>
        <w:t>。主要用于</w:t>
      </w:r>
      <w:r>
        <w:rPr>
          <w:rFonts w:hint="eastAsia" w:cs="黑体" w:asciiTheme="minorEastAsia" w:hAnsiTheme="minorEastAsia"/>
          <w:color w:val="auto"/>
          <w:kern w:val="0"/>
          <w:sz w:val="32"/>
          <w:szCs w:val="32"/>
          <w:highlight w:val="none"/>
          <w:lang w:val="en-US" w:eastAsia="zh-CN" w:bidi="ar-SA"/>
        </w:rPr>
        <w:t>卫生健康</w:t>
      </w:r>
      <w:r>
        <w:rPr>
          <w:rFonts w:hint="eastAsia" w:cs="黑体" w:asciiTheme="minorEastAsia" w:hAnsiTheme="minorEastAsia" w:eastAsiaTheme="minorEastAsia"/>
          <w:color w:val="auto"/>
          <w:kern w:val="0"/>
          <w:sz w:val="32"/>
          <w:szCs w:val="32"/>
          <w:highlight w:val="none"/>
          <w:lang w:val="en-US" w:eastAsia="zh-CN" w:bidi="ar-SA"/>
        </w:rPr>
        <w:t>公共服务、能力建设、管理运行等各项开支</w:t>
      </w:r>
      <w:r>
        <w:rPr>
          <w:rFonts w:hint="eastAsia" w:cs="黑体" w:asciiTheme="minorEastAsia" w:hAnsiTheme="minorEastAsia"/>
          <w:color w:val="auto"/>
          <w:kern w:val="0"/>
          <w:sz w:val="32"/>
          <w:szCs w:val="32"/>
          <w:highlight w:val="none"/>
          <w:lang w:val="en-US" w:eastAsia="zh-CN" w:bidi="ar-SA"/>
        </w:rPr>
        <w:t>.</w:t>
      </w:r>
      <w:r>
        <w:rPr>
          <w:rFonts w:hint="eastAsia" w:ascii="宋体" w:eastAsia="宋体"/>
          <w:color w:val="auto"/>
          <w:sz w:val="32"/>
          <w:szCs w:val="32"/>
          <w:highlight w:val="none"/>
        </w:rPr>
        <w:t>决算数大于年初预算数的主要原因是</w:t>
      </w:r>
      <w:r>
        <w:rPr>
          <w:rFonts w:hint="eastAsia" w:ascii="宋体" w:eastAsia="宋体"/>
          <w:color w:val="auto"/>
          <w:sz w:val="32"/>
          <w:szCs w:val="32"/>
          <w:highlight w:val="none"/>
          <w:lang w:eastAsia="zh-CN"/>
        </w:rPr>
        <w:t>此项目经费属于待审批专项，未纳入年初部门预算</w:t>
      </w:r>
      <w:r>
        <w:rPr>
          <w:rFonts w:hint="eastAsia" w:cs="黑体" w:asciiTheme="minorEastAsia" w:hAnsiTheme="minorEastAsia" w:eastAsiaTheme="minorEastAsia"/>
          <w:color w:val="auto"/>
          <w:kern w:val="0"/>
          <w:sz w:val="32"/>
          <w:szCs w:val="32"/>
          <w:highlight w:val="none"/>
          <w:lang w:val="en-US" w:eastAsia="zh-CN" w:bidi="ar-SA"/>
        </w:rPr>
        <w:t>。</w:t>
      </w:r>
    </w:p>
    <w:p>
      <w:pPr>
        <w:pStyle w:val="7"/>
        <w:keepNext w:val="0"/>
        <w:keepLines w:val="0"/>
        <w:widowControl/>
        <w:suppressLineNumbers w:val="0"/>
        <w:spacing w:before="0" w:beforeAutospacing="0" w:after="0" w:afterAutospacing="0" w:line="33" w:lineRule="atLeast"/>
        <w:ind w:firstLine="640" w:firstLineChars="200"/>
        <w:jc w:val="both"/>
        <w:rPr>
          <w:rFonts w:hint="eastAsia"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lang w:val="en-US" w:eastAsia="zh-CN"/>
        </w:rPr>
        <w:t xml:space="preserve"> </w:t>
      </w:r>
      <w:r>
        <w:rPr>
          <w:rFonts w:hint="eastAsia" w:asciiTheme="minorEastAsia" w:hAnsiTheme="minorEastAsia"/>
          <w:color w:val="auto"/>
          <w:sz w:val="32"/>
          <w:szCs w:val="32"/>
          <w:highlight w:val="none"/>
          <w:lang w:val="en-US" w:eastAsia="zh-CN"/>
        </w:rPr>
        <w:t>17</w:t>
      </w:r>
      <w:r>
        <w:rPr>
          <w:rFonts w:hint="eastAsia" w:cs="黑体" w:asciiTheme="minorEastAsia" w:hAnsiTheme="minorEastAsia" w:eastAsiaTheme="minorEastAsia"/>
          <w:color w:val="auto"/>
          <w:kern w:val="0"/>
          <w:sz w:val="32"/>
          <w:szCs w:val="32"/>
          <w:highlight w:val="none"/>
          <w:lang w:val="en-US" w:eastAsia="zh-CN" w:bidi="ar-SA"/>
        </w:rPr>
        <w:t>、卫生健康支出（类）其他卫生健康支出（款） 其他卫生健康支出（项）支出决算</w:t>
      </w:r>
      <w:r>
        <w:rPr>
          <w:rFonts w:hint="eastAsia" w:cs="黑体" w:asciiTheme="minorEastAsia" w:hAnsiTheme="minorEastAsia"/>
          <w:color w:val="auto"/>
          <w:kern w:val="0"/>
          <w:sz w:val="32"/>
          <w:szCs w:val="32"/>
          <w:highlight w:val="none"/>
          <w:lang w:val="en-US" w:eastAsia="zh-CN" w:bidi="ar-SA"/>
        </w:rPr>
        <w:t>495.33</w:t>
      </w:r>
      <w:r>
        <w:rPr>
          <w:rFonts w:hint="eastAsia" w:cs="黑体" w:asciiTheme="minorEastAsia" w:hAnsiTheme="minorEastAsia" w:eastAsiaTheme="minorEastAsia"/>
          <w:color w:val="auto"/>
          <w:kern w:val="0"/>
          <w:sz w:val="32"/>
          <w:szCs w:val="32"/>
          <w:highlight w:val="none"/>
          <w:lang w:val="en-US" w:eastAsia="zh-CN" w:bidi="ar-SA"/>
        </w:rPr>
        <w:t>万元，</w:t>
      </w:r>
      <w:r>
        <w:rPr>
          <w:rFonts w:hint="eastAsia" w:cs="黑体" w:asciiTheme="minorEastAsia" w:hAnsiTheme="minorEastAsia"/>
          <w:color w:val="auto"/>
          <w:kern w:val="0"/>
          <w:sz w:val="32"/>
          <w:szCs w:val="32"/>
          <w:highlight w:val="none"/>
          <w:lang w:val="en-US" w:eastAsia="zh-CN" w:bidi="ar-SA"/>
        </w:rPr>
        <w:t>上年转33.83万元，年中安排461.5</w:t>
      </w:r>
      <w:r>
        <w:rPr>
          <w:rFonts w:hint="eastAsia" w:cs="黑体" w:asciiTheme="minorEastAsia" w:hAnsiTheme="minorEastAsia" w:eastAsiaTheme="minorEastAsia"/>
          <w:color w:val="auto"/>
          <w:kern w:val="0"/>
          <w:sz w:val="32"/>
          <w:szCs w:val="32"/>
          <w:highlight w:val="none"/>
          <w:lang w:val="en-US" w:eastAsia="zh-CN" w:bidi="ar-SA"/>
        </w:rPr>
        <w:t>万元，</w:t>
      </w:r>
      <w:r>
        <w:rPr>
          <w:rFonts w:hint="eastAsia" w:cs="黑体" w:asciiTheme="minorEastAsia" w:hAnsiTheme="minorEastAsia"/>
          <w:color w:val="auto"/>
          <w:kern w:val="0"/>
          <w:sz w:val="32"/>
          <w:szCs w:val="32"/>
          <w:highlight w:val="none"/>
          <w:lang w:val="en-US" w:eastAsia="zh-CN" w:bidi="ar-SA"/>
        </w:rPr>
        <w:t>决算大于预算的原因是绩效考评奖金，未纳入年初预算。</w:t>
      </w:r>
      <w:r>
        <w:rPr>
          <w:rFonts w:hint="eastAsia" w:cs="黑体" w:asciiTheme="minorEastAsia" w:hAnsiTheme="minorEastAsia" w:eastAsiaTheme="minorEastAsia"/>
          <w:color w:val="auto"/>
          <w:kern w:val="0"/>
          <w:sz w:val="32"/>
          <w:szCs w:val="32"/>
          <w:highlight w:val="none"/>
          <w:lang w:val="en-US" w:eastAsia="zh-CN" w:bidi="ar-SA"/>
        </w:rPr>
        <w:t>主要</w:t>
      </w:r>
      <w:r>
        <w:rPr>
          <w:rFonts w:hint="eastAsia" w:cs="黑体" w:asciiTheme="minorEastAsia" w:hAnsiTheme="minorEastAsia"/>
          <w:color w:val="auto"/>
          <w:kern w:val="0"/>
          <w:sz w:val="32"/>
          <w:szCs w:val="32"/>
          <w:highlight w:val="none"/>
          <w:lang w:val="en-US" w:eastAsia="zh-CN" w:bidi="ar-SA"/>
        </w:rPr>
        <w:t>是用于上年度绩效及综治奖励金结转、非税收入成本返还项目、绩效考核奖、</w:t>
      </w:r>
      <w:r>
        <w:rPr>
          <w:rFonts w:hint="eastAsia" w:cs="黑体" w:asciiTheme="minorEastAsia" w:hAnsiTheme="minorEastAsia" w:eastAsiaTheme="minorEastAsia"/>
          <w:color w:val="auto"/>
          <w:kern w:val="0"/>
          <w:sz w:val="32"/>
          <w:szCs w:val="32"/>
          <w:highlight w:val="none"/>
          <w:lang w:val="en-US" w:eastAsia="zh-CN" w:bidi="ar-SA"/>
        </w:rPr>
        <w:t>医疗卫生各项目支出、如医疗紧急救援中心专项、医患调解中心专项、艾滋病防治专项等。</w:t>
      </w:r>
    </w:p>
    <w:p>
      <w:pPr>
        <w:pStyle w:val="14"/>
        <w:ind w:firstLine="640" w:firstLineChars="200"/>
        <w:rPr>
          <w:rFonts w:hAnsi="黑体"/>
          <w:b/>
          <w:color w:val="auto"/>
          <w:sz w:val="32"/>
          <w:szCs w:val="32"/>
          <w:highlight w:val="none"/>
        </w:rPr>
      </w:pPr>
      <w:r>
        <w:rPr>
          <w:rFonts w:hint="eastAsia" w:hAnsi="黑体"/>
          <w:b/>
          <w:color w:val="auto"/>
          <w:sz w:val="32"/>
          <w:szCs w:val="32"/>
          <w:highlight w:val="none"/>
        </w:rPr>
        <w:t>六、一般公共预算财政拨款基本支出决算情况说明</w:t>
      </w:r>
    </w:p>
    <w:p>
      <w:pPr>
        <w:pStyle w:val="14"/>
        <w:ind w:firstLine="640" w:firstLineChars="200"/>
        <w:rPr>
          <w:rFonts w:hint="eastAsia"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20</w:t>
      </w:r>
      <w:r>
        <w:rPr>
          <w:rFonts w:hint="eastAsia" w:asciiTheme="minorEastAsia" w:hAnsiTheme="minorEastAsia" w:eastAsiaTheme="minorEastAsia"/>
          <w:color w:val="auto"/>
          <w:sz w:val="32"/>
          <w:szCs w:val="32"/>
          <w:highlight w:val="none"/>
          <w:lang w:val="en-US" w:eastAsia="zh-CN"/>
        </w:rPr>
        <w:t>21</w:t>
      </w:r>
      <w:r>
        <w:rPr>
          <w:rFonts w:hint="eastAsia" w:asciiTheme="minorEastAsia" w:hAnsiTheme="minorEastAsia" w:eastAsiaTheme="minorEastAsia"/>
          <w:color w:val="auto"/>
          <w:sz w:val="32"/>
          <w:szCs w:val="32"/>
          <w:highlight w:val="none"/>
        </w:rPr>
        <w:t>年度财政拨款基本支出</w:t>
      </w:r>
      <w:r>
        <w:rPr>
          <w:rFonts w:hint="eastAsia" w:asciiTheme="minorEastAsia" w:hAnsiTheme="minorEastAsia" w:eastAsiaTheme="minorEastAsia"/>
          <w:color w:val="auto"/>
          <w:sz w:val="32"/>
          <w:szCs w:val="32"/>
          <w:highlight w:val="none"/>
          <w:lang w:val="en-US" w:eastAsia="zh-CN"/>
        </w:rPr>
        <w:t>2078.62</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同比上年减少</w:t>
      </w:r>
      <w:r>
        <w:rPr>
          <w:rFonts w:hint="eastAsia" w:asciiTheme="minorEastAsia" w:hAnsiTheme="minorEastAsia" w:eastAsiaTheme="minorEastAsia"/>
          <w:color w:val="auto"/>
          <w:sz w:val="32"/>
          <w:szCs w:val="32"/>
          <w:highlight w:val="none"/>
          <w:lang w:val="en-US" w:eastAsia="zh-CN"/>
        </w:rPr>
        <w:t>40.32万元，降低1.9%。</w:t>
      </w:r>
      <w:r>
        <w:rPr>
          <w:rFonts w:hint="eastAsia" w:asciiTheme="minorEastAsia" w:hAnsiTheme="minorEastAsia" w:eastAsiaTheme="minorEastAsia"/>
          <w:color w:val="auto"/>
          <w:sz w:val="32"/>
          <w:szCs w:val="32"/>
          <w:highlight w:val="none"/>
        </w:rPr>
        <w:t>其中：人员经费</w:t>
      </w:r>
      <w:r>
        <w:rPr>
          <w:rFonts w:hint="eastAsia" w:asciiTheme="minorEastAsia" w:hAnsiTheme="minorEastAsia" w:eastAsiaTheme="minorEastAsia"/>
          <w:color w:val="auto"/>
          <w:sz w:val="32"/>
          <w:szCs w:val="32"/>
          <w:highlight w:val="none"/>
          <w:lang w:val="en-US" w:eastAsia="zh-CN"/>
        </w:rPr>
        <w:t>1759.34</w:t>
      </w:r>
      <w:r>
        <w:rPr>
          <w:rFonts w:hint="eastAsia" w:asciiTheme="minorEastAsia" w:hAnsiTheme="minorEastAsia" w:eastAsiaTheme="minorEastAsia"/>
          <w:color w:val="auto"/>
          <w:sz w:val="32"/>
          <w:szCs w:val="32"/>
          <w:highlight w:val="none"/>
        </w:rPr>
        <w:t>万元，占基本支出的</w:t>
      </w:r>
      <w:r>
        <w:rPr>
          <w:rFonts w:hint="eastAsia" w:asciiTheme="minorEastAsia" w:hAnsiTheme="minorEastAsia" w:eastAsiaTheme="minorEastAsia"/>
          <w:color w:val="auto"/>
          <w:sz w:val="32"/>
          <w:szCs w:val="32"/>
          <w:highlight w:val="none"/>
          <w:lang w:val="en-US" w:eastAsia="zh-CN"/>
        </w:rPr>
        <w:t>84.64</w:t>
      </w:r>
      <w:r>
        <w:rPr>
          <w:rFonts w:hint="eastAsia" w:asciiTheme="minorEastAsia" w:hAnsiTheme="minorEastAsia" w:eastAsiaTheme="minorEastAsia"/>
          <w:color w:val="auto"/>
          <w:sz w:val="32"/>
          <w:szCs w:val="32"/>
          <w:highlight w:val="none"/>
        </w:rPr>
        <w:t>%,主要包括基本工资、津贴补贴、奖金、伙食补助费</w:t>
      </w:r>
      <w:r>
        <w:rPr>
          <w:rFonts w:hint="eastAsia" w:asciiTheme="minorEastAsia" w:hAnsiTheme="minorEastAsia" w:eastAsiaTheme="minorEastAsia"/>
          <w:color w:val="auto"/>
          <w:sz w:val="32"/>
          <w:szCs w:val="32"/>
          <w:highlight w:val="none"/>
          <w:lang w:eastAsia="zh-CN"/>
        </w:rPr>
        <w:t>、绩效工资、机关事业单位基本养老保险缴费、职业年金缴费、职工基本医疗保险缴费、公务员医疗补助缴费、其他社会保障缴费、住房公积金、医疗费、其他工资福利支出、离休费、退休费、抚恤金、生活补助、</w:t>
      </w:r>
      <w:r>
        <w:rPr>
          <w:rFonts w:hint="eastAsia" w:asciiTheme="minorEastAsia" w:hAnsiTheme="minorEastAsia" w:eastAsiaTheme="minorEastAsia"/>
          <w:color w:val="auto"/>
          <w:sz w:val="32"/>
          <w:szCs w:val="32"/>
          <w:highlight w:val="none"/>
          <w:lang w:val="en-US" w:eastAsia="zh-CN"/>
        </w:rPr>
        <w:t>医疗费补助、奖励金、其他对个人和家庭的补助</w:t>
      </w:r>
      <w:r>
        <w:rPr>
          <w:rFonts w:hint="eastAsia" w:asciiTheme="minorEastAsia" w:hAnsiTheme="minorEastAsia" w:eastAsiaTheme="minorEastAsia"/>
          <w:color w:val="auto"/>
          <w:sz w:val="32"/>
          <w:szCs w:val="32"/>
          <w:highlight w:val="none"/>
        </w:rPr>
        <w:t>；公用经费</w:t>
      </w:r>
      <w:r>
        <w:rPr>
          <w:rFonts w:hint="eastAsia" w:asciiTheme="minorEastAsia" w:hAnsiTheme="minorEastAsia" w:eastAsiaTheme="minorEastAsia"/>
          <w:color w:val="auto"/>
          <w:sz w:val="32"/>
          <w:szCs w:val="32"/>
          <w:highlight w:val="none"/>
          <w:lang w:val="en-US" w:eastAsia="zh-CN"/>
        </w:rPr>
        <w:t>319.28</w:t>
      </w:r>
      <w:r>
        <w:rPr>
          <w:rFonts w:hint="eastAsia" w:asciiTheme="minorEastAsia" w:hAnsiTheme="minorEastAsia" w:eastAsiaTheme="minorEastAsia"/>
          <w:color w:val="auto"/>
          <w:sz w:val="32"/>
          <w:szCs w:val="32"/>
          <w:highlight w:val="none"/>
        </w:rPr>
        <w:t>万元，占基本支出的</w:t>
      </w:r>
      <w:r>
        <w:rPr>
          <w:rFonts w:hint="eastAsia" w:asciiTheme="minorEastAsia" w:hAnsiTheme="minorEastAsia" w:eastAsiaTheme="minorEastAsia"/>
          <w:color w:val="auto"/>
          <w:sz w:val="32"/>
          <w:szCs w:val="32"/>
          <w:highlight w:val="none"/>
          <w:lang w:val="en-US" w:eastAsia="zh-CN"/>
        </w:rPr>
        <w:t>15.36</w:t>
      </w:r>
      <w:r>
        <w:rPr>
          <w:rFonts w:hint="eastAsia" w:asciiTheme="minorEastAsia" w:hAnsiTheme="minorEastAsia" w:eastAsiaTheme="minorEastAsia"/>
          <w:color w:val="auto"/>
          <w:sz w:val="32"/>
          <w:szCs w:val="32"/>
          <w:highlight w:val="none"/>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w:t>
      </w:r>
    </w:p>
    <w:p>
      <w:pPr>
        <w:pStyle w:val="14"/>
        <w:ind w:firstLine="640" w:firstLineChars="200"/>
        <w:rPr>
          <w:rFonts w:hAnsi="黑体"/>
          <w:b/>
          <w:color w:val="auto"/>
          <w:sz w:val="32"/>
          <w:szCs w:val="32"/>
          <w:highlight w:val="none"/>
        </w:rPr>
      </w:pPr>
      <w:r>
        <w:rPr>
          <w:rFonts w:hint="eastAsia" w:hAnsi="黑体"/>
          <w:b/>
          <w:color w:val="auto"/>
          <w:sz w:val="32"/>
          <w:szCs w:val="32"/>
          <w:highlight w:val="none"/>
        </w:rPr>
        <w:t>七、一般公共预算财政拨款三公经费支出决算情况说明</w:t>
      </w:r>
    </w:p>
    <w:p>
      <w:pPr>
        <w:pStyle w:val="14"/>
        <w:ind w:firstLine="640" w:firstLineChars="200"/>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t>（一）“三公”经费财政拨款支出决算总体情况说明</w:t>
      </w:r>
    </w:p>
    <w:p>
      <w:pPr>
        <w:pStyle w:val="14"/>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“三公”经费财政拨款支出预算为</w:t>
      </w:r>
      <w:r>
        <w:rPr>
          <w:rFonts w:hint="eastAsia" w:asciiTheme="minorEastAsia" w:hAnsiTheme="minorEastAsia" w:eastAsiaTheme="minorEastAsia"/>
          <w:color w:val="auto"/>
          <w:sz w:val="32"/>
          <w:szCs w:val="32"/>
          <w:highlight w:val="none"/>
          <w:lang w:val="en-US" w:eastAsia="zh-CN"/>
        </w:rPr>
        <w:t>40万元，</w:t>
      </w:r>
      <w:r>
        <w:rPr>
          <w:rFonts w:hint="eastAsia" w:asciiTheme="minorEastAsia" w:hAnsiTheme="minorEastAsia" w:eastAsiaTheme="minorEastAsia"/>
          <w:color w:val="auto"/>
          <w:sz w:val="32"/>
          <w:szCs w:val="32"/>
          <w:highlight w:val="none"/>
        </w:rPr>
        <w:t>支出决算为</w:t>
      </w:r>
      <w:r>
        <w:rPr>
          <w:rFonts w:hint="eastAsia" w:asciiTheme="minorEastAsia" w:hAnsiTheme="minorEastAsia" w:eastAsiaTheme="minorEastAsia"/>
          <w:color w:val="auto"/>
          <w:sz w:val="32"/>
          <w:szCs w:val="32"/>
          <w:highlight w:val="none"/>
          <w:lang w:val="en-US" w:eastAsia="zh-CN"/>
        </w:rPr>
        <w:t>32.49万元，</w:t>
      </w:r>
      <w:r>
        <w:rPr>
          <w:rFonts w:hint="eastAsia" w:asciiTheme="minorEastAsia" w:hAnsiTheme="minorEastAsia" w:eastAsiaTheme="minorEastAsia"/>
          <w:color w:val="auto"/>
          <w:sz w:val="32"/>
          <w:szCs w:val="32"/>
          <w:highlight w:val="none"/>
        </w:rPr>
        <w:t>完成预算的</w:t>
      </w:r>
      <w:r>
        <w:rPr>
          <w:rFonts w:hint="eastAsia" w:asciiTheme="minorEastAsia" w:hAnsiTheme="minorEastAsia" w:eastAsiaTheme="minorEastAsia"/>
          <w:color w:val="auto"/>
          <w:sz w:val="32"/>
          <w:szCs w:val="32"/>
          <w:highlight w:val="none"/>
          <w:lang w:val="en-US" w:eastAsia="zh-CN"/>
        </w:rPr>
        <w:t>81.23</w:t>
      </w:r>
      <w:r>
        <w:rPr>
          <w:rFonts w:hint="eastAsia" w:asciiTheme="minorEastAsia" w:hAnsiTheme="minorEastAsia" w:eastAsiaTheme="minorEastAsia"/>
          <w:color w:val="auto"/>
          <w:sz w:val="32"/>
          <w:szCs w:val="32"/>
          <w:highlight w:val="none"/>
        </w:rPr>
        <w:t>%，其中：</w:t>
      </w:r>
    </w:p>
    <w:p>
      <w:pPr>
        <w:pStyle w:val="14"/>
        <w:ind w:firstLine="800" w:firstLineChars="250"/>
        <w:rPr>
          <w:rFonts w:hint="default"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highlight w:val="none"/>
        </w:rPr>
        <w:t>因公出国（境）费支出预算为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万元，支出决算为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由于预算数为</w:t>
      </w:r>
      <w:r>
        <w:rPr>
          <w:rFonts w:hint="eastAsia" w:asciiTheme="minorEastAsia" w:hAnsiTheme="minorEastAsia" w:eastAsiaTheme="minorEastAsia"/>
          <w:color w:val="auto"/>
          <w:sz w:val="32"/>
          <w:szCs w:val="32"/>
          <w:highlight w:val="none"/>
          <w:lang w:val="en-US" w:eastAsia="zh-CN"/>
        </w:rPr>
        <w:t>0,无法计算百分比，主要原因为本年未安排因公出国（境），与上年相比无变化，主要原因是未安排外事出访活动。</w:t>
      </w:r>
    </w:p>
    <w:p>
      <w:pPr>
        <w:pStyle w:val="14"/>
        <w:ind w:firstLine="800" w:firstLineChars="250"/>
        <w:rPr>
          <w:rFonts w:hint="default"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highlight w:val="none"/>
        </w:rPr>
        <w:t>公务接待费支出预算为</w:t>
      </w:r>
      <w:r>
        <w:rPr>
          <w:rFonts w:hint="eastAsia" w:asciiTheme="minorEastAsia" w:hAnsiTheme="minorEastAsia" w:eastAsiaTheme="minorEastAsia"/>
          <w:color w:val="auto"/>
          <w:sz w:val="32"/>
          <w:szCs w:val="32"/>
          <w:highlight w:val="none"/>
          <w:lang w:val="en-US" w:eastAsia="zh-CN"/>
        </w:rPr>
        <w:t>10</w:t>
      </w:r>
      <w:r>
        <w:rPr>
          <w:rFonts w:hint="eastAsia" w:asciiTheme="minorEastAsia" w:hAnsiTheme="minorEastAsia" w:eastAsiaTheme="minorEastAsia"/>
          <w:color w:val="auto"/>
          <w:sz w:val="32"/>
          <w:szCs w:val="32"/>
          <w:highlight w:val="none"/>
        </w:rPr>
        <w:t>万元，支出决算为</w:t>
      </w:r>
      <w:r>
        <w:rPr>
          <w:rFonts w:hint="eastAsia" w:asciiTheme="minorEastAsia" w:hAnsiTheme="minorEastAsia" w:eastAsiaTheme="minorEastAsia"/>
          <w:color w:val="auto"/>
          <w:sz w:val="32"/>
          <w:szCs w:val="32"/>
          <w:highlight w:val="none"/>
          <w:lang w:val="en-US" w:eastAsia="zh-CN"/>
        </w:rPr>
        <w:t>3.64</w:t>
      </w:r>
      <w:r>
        <w:rPr>
          <w:rFonts w:hint="eastAsia" w:asciiTheme="minorEastAsia" w:hAnsiTheme="minorEastAsia" w:eastAsiaTheme="minorEastAsia"/>
          <w:color w:val="auto"/>
          <w:sz w:val="32"/>
          <w:szCs w:val="32"/>
          <w:highlight w:val="none"/>
        </w:rPr>
        <w:t>万元，完成预算的</w:t>
      </w:r>
      <w:r>
        <w:rPr>
          <w:rFonts w:hint="eastAsia" w:asciiTheme="minorEastAsia" w:hAnsiTheme="minorEastAsia" w:eastAsiaTheme="minorEastAsia"/>
          <w:color w:val="auto"/>
          <w:sz w:val="32"/>
          <w:szCs w:val="32"/>
          <w:highlight w:val="none"/>
          <w:lang w:val="en-US" w:eastAsia="zh-CN"/>
        </w:rPr>
        <w:t>36.4</w:t>
      </w:r>
      <w:r>
        <w:rPr>
          <w:rFonts w:hint="eastAsia" w:asciiTheme="minorEastAsia" w:hAnsiTheme="minorEastAsia" w:eastAsiaTheme="minorEastAsia"/>
          <w:color w:val="auto"/>
          <w:sz w:val="32"/>
          <w:szCs w:val="32"/>
          <w:highlight w:val="none"/>
        </w:rPr>
        <w:t>%，决算数小于年初预算数的主要原因是</w:t>
      </w:r>
      <w:r>
        <w:rPr>
          <w:rFonts w:hint="eastAsia" w:asciiTheme="minorEastAsia" w:hAnsiTheme="minorEastAsia" w:eastAsiaTheme="minorEastAsia"/>
          <w:color w:val="auto"/>
          <w:sz w:val="32"/>
          <w:szCs w:val="32"/>
          <w:highlight w:val="none"/>
          <w:lang w:eastAsia="zh-CN"/>
        </w:rPr>
        <w:t>实施厉行节约，大力压缩公务接待费。</w:t>
      </w:r>
      <w:r>
        <w:rPr>
          <w:rFonts w:hint="eastAsia" w:asciiTheme="minorEastAsia" w:hAnsiTheme="minorEastAsia" w:eastAsiaTheme="minorEastAsia"/>
          <w:color w:val="auto"/>
          <w:sz w:val="32"/>
          <w:szCs w:val="32"/>
          <w:highlight w:val="none"/>
        </w:rPr>
        <w:t>与上年相比</w:t>
      </w:r>
      <w:r>
        <w:rPr>
          <w:rFonts w:hint="eastAsia" w:asciiTheme="minorEastAsia" w:hAnsiTheme="minorEastAsia" w:eastAsiaTheme="minorEastAsia"/>
          <w:color w:val="auto"/>
          <w:sz w:val="32"/>
          <w:szCs w:val="32"/>
          <w:highlight w:val="none"/>
          <w:lang w:val="en-US" w:eastAsia="zh-CN"/>
        </w:rPr>
        <w:t>增加1.11</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val="en-US" w:eastAsia="zh-CN"/>
        </w:rPr>
        <w:t>增加49.27</w:t>
      </w:r>
      <w:r>
        <w:rPr>
          <w:rFonts w:hint="eastAsia" w:asciiTheme="minorEastAsia" w:hAnsiTheme="minorEastAsia" w:eastAsiaTheme="minorEastAsia"/>
          <w:color w:val="auto"/>
          <w:sz w:val="32"/>
          <w:szCs w:val="32"/>
          <w:highlight w:val="none"/>
        </w:rPr>
        <w:t>%,主要原因是</w:t>
      </w:r>
      <w:r>
        <w:rPr>
          <w:rFonts w:hint="eastAsia" w:asciiTheme="minorEastAsia" w:hAnsiTheme="minorEastAsia" w:eastAsiaTheme="minorEastAsia"/>
          <w:color w:val="auto"/>
          <w:sz w:val="32"/>
          <w:szCs w:val="32"/>
          <w:highlight w:val="none"/>
          <w:lang w:val="en-US" w:eastAsia="zh-CN"/>
        </w:rPr>
        <w:t>2021年机关和红会接待口博会重庆、郴州代表团，接待费用增加。</w:t>
      </w:r>
    </w:p>
    <w:p>
      <w:pPr>
        <w:pStyle w:val="14"/>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color w:val="auto"/>
          <w:sz w:val="32"/>
          <w:szCs w:val="32"/>
          <w:highlight w:val="none"/>
        </w:rPr>
        <w:t>公务用车购置费支出预算为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万元，支出决算为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，由于预算数为0，无法计算完成百分比，主要原因为本年未购置公务用车；与上年相比无变化，主要原因为两年均未购置公务用车。</w:t>
      </w:r>
      <w:bookmarkStart w:id="0" w:name="_GoBack"/>
      <w:bookmarkEnd w:id="0"/>
    </w:p>
    <w:p>
      <w:pPr>
        <w:pStyle w:val="14"/>
        <w:ind w:firstLine="640" w:firstLineChars="200"/>
        <w:rPr>
          <w:rFonts w:hint="eastAsia"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公务用车运行维护费支出预算为</w:t>
      </w:r>
      <w:r>
        <w:rPr>
          <w:rFonts w:hint="eastAsia" w:asciiTheme="minorEastAsia" w:hAnsiTheme="minorEastAsia" w:eastAsiaTheme="minorEastAsia"/>
          <w:color w:val="auto"/>
          <w:sz w:val="32"/>
          <w:szCs w:val="32"/>
          <w:highlight w:val="none"/>
          <w:lang w:val="en-US" w:eastAsia="zh-CN"/>
        </w:rPr>
        <w:t>30</w:t>
      </w:r>
      <w:r>
        <w:rPr>
          <w:rFonts w:hint="eastAsia" w:asciiTheme="minorEastAsia" w:hAnsiTheme="minorEastAsia" w:eastAsiaTheme="minorEastAsia"/>
          <w:color w:val="auto"/>
          <w:sz w:val="32"/>
          <w:szCs w:val="32"/>
          <w:highlight w:val="none"/>
        </w:rPr>
        <w:t>万元，支出决算为</w:t>
      </w:r>
      <w:r>
        <w:rPr>
          <w:rFonts w:hint="eastAsia" w:asciiTheme="minorEastAsia" w:hAnsiTheme="minorEastAsia" w:eastAsiaTheme="minorEastAsia"/>
          <w:color w:val="auto"/>
          <w:sz w:val="32"/>
          <w:szCs w:val="32"/>
          <w:highlight w:val="none"/>
          <w:lang w:val="en-US" w:eastAsia="zh-CN"/>
        </w:rPr>
        <w:t>28.85</w:t>
      </w:r>
      <w:r>
        <w:rPr>
          <w:rFonts w:hint="eastAsia" w:asciiTheme="minorEastAsia" w:hAnsiTheme="minorEastAsia" w:eastAsiaTheme="minorEastAsia"/>
          <w:color w:val="auto"/>
          <w:sz w:val="32"/>
          <w:szCs w:val="32"/>
          <w:highlight w:val="none"/>
        </w:rPr>
        <w:t>万元，完成预算的</w:t>
      </w:r>
      <w:r>
        <w:rPr>
          <w:rFonts w:hint="eastAsia" w:asciiTheme="minorEastAsia" w:hAnsiTheme="minorEastAsia" w:eastAsiaTheme="minorEastAsia"/>
          <w:color w:val="auto"/>
          <w:sz w:val="32"/>
          <w:szCs w:val="32"/>
          <w:highlight w:val="none"/>
          <w:lang w:val="en-US" w:eastAsia="zh-CN"/>
        </w:rPr>
        <w:t>96.17</w:t>
      </w:r>
      <w:r>
        <w:rPr>
          <w:rFonts w:hint="eastAsia" w:asciiTheme="minorEastAsia" w:hAnsiTheme="minorEastAsia" w:eastAsiaTheme="minorEastAsia"/>
          <w:color w:val="auto"/>
          <w:sz w:val="32"/>
          <w:szCs w:val="32"/>
          <w:highlight w:val="none"/>
        </w:rPr>
        <w:t>%，决算数小于预算数的主要原因是</w:t>
      </w:r>
      <w:r>
        <w:rPr>
          <w:rFonts w:hint="eastAsia" w:asciiTheme="minorEastAsia" w:hAnsiTheme="minorEastAsia" w:eastAsiaTheme="minorEastAsia"/>
          <w:color w:val="auto"/>
          <w:sz w:val="32"/>
          <w:szCs w:val="32"/>
          <w:highlight w:val="none"/>
          <w:lang w:eastAsia="zh-CN"/>
        </w:rPr>
        <w:t>按照年初工作计划，精准预算；</w:t>
      </w:r>
      <w:r>
        <w:rPr>
          <w:rFonts w:hint="eastAsia" w:asciiTheme="minorEastAsia" w:hAnsiTheme="minorEastAsia" w:eastAsiaTheme="minorEastAsia"/>
          <w:color w:val="auto"/>
          <w:sz w:val="32"/>
          <w:szCs w:val="32"/>
          <w:highlight w:val="none"/>
        </w:rPr>
        <w:t>与上年相比增加</w:t>
      </w:r>
      <w:r>
        <w:rPr>
          <w:rFonts w:hint="eastAsia" w:asciiTheme="minorEastAsia" w:hAnsiTheme="minorEastAsia" w:eastAsiaTheme="minorEastAsia"/>
          <w:color w:val="auto"/>
          <w:sz w:val="32"/>
          <w:szCs w:val="32"/>
          <w:highlight w:val="none"/>
          <w:lang w:val="en-US" w:eastAsia="zh-CN"/>
        </w:rPr>
        <w:t>18.89</w:t>
      </w:r>
      <w:r>
        <w:rPr>
          <w:rFonts w:hint="eastAsia" w:asciiTheme="minorEastAsia" w:hAnsiTheme="minorEastAsia" w:eastAsiaTheme="minorEastAsia"/>
          <w:color w:val="auto"/>
          <w:sz w:val="32"/>
          <w:szCs w:val="32"/>
          <w:highlight w:val="none"/>
        </w:rPr>
        <w:t>万元，增长</w:t>
      </w:r>
      <w:r>
        <w:rPr>
          <w:rFonts w:hint="eastAsia" w:asciiTheme="minorEastAsia" w:hAnsiTheme="minorEastAsia" w:eastAsiaTheme="minorEastAsia"/>
          <w:color w:val="auto"/>
          <w:sz w:val="32"/>
          <w:szCs w:val="32"/>
          <w:highlight w:val="none"/>
          <w:lang w:val="en-US" w:eastAsia="zh-CN"/>
        </w:rPr>
        <w:t>189.66</w:t>
      </w:r>
      <w:r>
        <w:rPr>
          <w:rFonts w:hint="eastAsia" w:asciiTheme="minorEastAsia" w:hAnsiTheme="minorEastAsia" w:eastAsiaTheme="minorEastAsia"/>
          <w:color w:val="auto"/>
          <w:sz w:val="32"/>
          <w:szCs w:val="32"/>
          <w:highlight w:val="none"/>
        </w:rPr>
        <w:t>%,增长的主要原因是</w:t>
      </w:r>
      <w:r>
        <w:rPr>
          <w:rFonts w:hint="eastAsia" w:asciiTheme="minorEastAsia" w:hAnsiTheme="minorEastAsia" w:eastAsiaTheme="minorEastAsia"/>
          <w:color w:val="auto"/>
          <w:sz w:val="32"/>
          <w:szCs w:val="32"/>
          <w:highlight w:val="none"/>
          <w:lang w:val="en-US" w:eastAsia="zh-CN"/>
        </w:rPr>
        <w:t>2021年度常态化疫情防控工作督查，导致平台租车费用开支同比上年大幅增加</w:t>
      </w:r>
      <w:r>
        <w:rPr>
          <w:rFonts w:hint="eastAsia" w:asciiTheme="minorEastAsia" w:hAnsiTheme="minorEastAsia" w:eastAsiaTheme="minorEastAsia"/>
          <w:color w:val="auto"/>
          <w:sz w:val="32"/>
          <w:szCs w:val="32"/>
          <w:highlight w:val="none"/>
        </w:rPr>
        <w:t>。</w:t>
      </w:r>
    </w:p>
    <w:p>
      <w:pPr>
        <w:pStyle w:val="14"/>
        <w:ind w:firstLine="640" w:firstLineChars="200"/>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t>（二）“三公”经费财政拨款支出决算具体情况说明</w:t>
      </w:r>
    </w:p>
    <w:p>
      <w:pPr>
        <w:pStyle w:val="14"/>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20</w:t>
      </w:r>
      <w:r>
        <w:rPr>
          <w:rFonts w:hint="eastAsia" w:asciiTheme="minorEastAsia" w:hAnsiTheme="minorEastAsia" w:eastAsiaTheme="minorEastAsia"/>
          <w:color w:val="auto"/>
          <w:sz w:val="32"/>
          <w:szCs w:val="32"/>
          <w:highlight w:val="none"/>
          <w:lang w:val="en-US" w:eastAsia="zh-CN"/>
        </w:rPr>
        <w:t>21</w:t>
      </w:r>
      <w:r>
        <w:rPr>
          <w:rFonts w:hint="eastAsia" w:asciiTheme="minorEastAsia" w:hAnsiTheme="minorEastAsia" w:eastAsiaTheme="minorEastAsia"/>
          <w:color w:val="auto"/>
          <w:sz w:val="32"/>
          <w:szCs w:val="32"/>
          <w:highlight w:val="none"/>
        </w:rPr>
        <w:t>年度“三公”经费财政拨款支出决算中，公务接待费支出决算</w:t>
      </w:r>
      <w:r>
        <w:rPr>
          <w:rFonts w:hint="eastAsia" w:asciiTheme="minorEastAsia" w:hAnsiTheme="minorEastAsia" w:eastAsiaTheme="minorEastAsia"/>
          <w:color w:val="auto"/>
          <w:sz w:val="32"/>
          <w:szCs w:val="32"/>
          <w:highlight w:val="none"/>
          <w:lang w:val="en-US" w:eastAsia="zh-CN"/>
        </w:rPr>
        <w:t>3.64</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11.2</w:t>
      </w:r>
      <w:r>
        <w:rPr>
          <w:rFonts w:hint="eastAsia" w:asciiTheme="minorEastAsia" w:hAnsiTheme="minorEastAsia" w:eastAsiaTheme="minorEastAsia"/>
          <w:color w:val="auto"/>
          <w:sz w:val="32"/>
          <w:szCs w:val="32"/>
          <w:highlight w:val="none"/>
        </w:rPr>
        <w:t>%,因公出国（境）费支出决算</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%,公务用车购置费及运行维护费支出决算</w:t>
      </w:r>
      <w:r>
        <w:rPr>
          <w:rFonts w:hint="eastAsia" w:asciiTheme="minorEastAsia" w:hAnsiTheme="minorEastAsia" w:eastAsiaTheme="minorEastAsia"/>
          <w:color w:val="auto"/>
          <w:sz w:val="32"/>
          <w:szCs w:val="32"/>
          <w:highlight w:val="none"/>
          <w:lang w:val="en-US" w:eastAsia="zh-CN"/>
        </w:rPr>
        <w:t>28.85</w:t>
      </w:r>
      <w:r>
        <w:rPr>
          <w:rFonts w:hint="eastAsia" w:asciiTheme="minorEastAsia" w:hAnsiTheme="minorEastAsia" w:eastAsiaTheme="minorEastAsia"/>
          <w:color w:val="auto"/>
          <w:sz w:val="32"/>
          <w:szCs w:val="32"/>
          <w:highlight w:val="none"/>
        </w:rPr>
        <w:t>万元，占</w:t>
      </w:r>
      <w:r>
        <w:rPr>
          <w:rFonts w:hint="eastAsia" w:asciiTheme="minorEastAsia" w:hAnsiTheme="minorEastAsia" w:eastAsiaTheme="minorEastAsia"/>
          <w:color w:val="auto"/>
          <w:sz w:val="32"/>
          <w:szCs w:val="32"/>
          <w:highlight w:val="none"/>
          <w:lang w:val="en-US" w:eastAsia="zh-CN"/>
        </w:rPr>
        <w:t>88.8</w:t>
      </w:r>
      <w:r>
        <w:rPr>
          <w:rFonts w:hint="eastAsia" w:asciiTheme="minorEastAsia" w:hAnsiTheme="minorEastAsia" w:eastAsiaTheme="minorEastAsia"/>
          <w:color w:val="auto"/>
          <w:sz w:val="32"/>
          <w:szCs w:val="32"/>
          <w:highlight w:val="none"/>
        </w:rPr>
        <w:t>%。其中：</w:t>
      </w:r>
    </w:p>
    <w:p>
      <w:pPr>
        <w:pStyle w:val="14"/>
        <w:ind w:firstLine="640" w:firstLineChars="200"/>
        <w:rPr>
          <w:rFonts w:hint="eastAsia" w:asciiTheme="minorEastAsia" w:hAnsiTheme="minorEastAsia" w:eastAsiaTheme="minorEastAsia"/>
          <w:color w:val="auto"/>
          <w:sz w:val="32"/>
          <w:szCs w:val="32"/>
          <w:highlight w:val="none"/>
          <w:lang w:eastAsia="zh-CN"/>
        </w:rPr>
      </w:pPr>
      <w:r>
        <w:rPr>
          <w:rFonts w:hint="eastAsia" w:asciiTheme="minorEastAsia" w:hAnsiTheme="minorEastAsia" w:eastAsiaTheme="minorEastAsia"/>
          <w:color w:val="auto"/>
          <w:sz w:val="32"/>
          <w:szCs w:val="32"/>
          <w:highlight w:val="none"/>
        </w:rPr>
        <w:t>1、因公出国（境）费支出决算为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万元，全年安排因公出国（境）团组</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个，累计</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人次</w:t>
      </w:r>
      <w:r>
        <w:rPr>
          <w:rFonts w:hint="eastAsia" w:asciiTheme="minorEastAsia" w:hAnsiTheme="minorEastAsia" w:eastAsiaTheme="minorEastAsia"/>
          <w:color w:val="auto"/>
          <w:sz w:val="32"/>
          <w:szCs w:val="32"/>
          <w:highlight w:val="none"/>
          <w:lang w:eastAsia="zh-CN"/>
        </w:rPr>
        <w:t>。</w:t>
      </w:r>
    </w:p>
    <w:p>
      <w:pPr>
        <w:pStyle w:val="14"/>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2、公务接待费支出决算为</w:t>
      </w:r>
      <w:r>
        <w:rPr>
          <w:rFonts w:hint="eastAsia" w:asciiTheme="minorEastAsia" w:hAnsiTheme="minorEastAsia" w:eastAsiaTheme="minorEastAsia"/>
          <w:color w:val="auto"/>
          <w:sz w:val="32"/>
          <w:szCs w:val="32"/>
          <w:highlight w:val="none"/>
          <w:lang w:val="en-US" w:eastAsia="zh-CN"/>
        </w:rPr>
        <w:t>3.50</w:t>
      </w:r>
      <w:r>
        <w:rPr>
          <w:rFonts w:hint="eastAsia" w:asciiTheme="minorEastAsia" w:hAnsiTheme="minorEastAsia" w:eastAsiaTheme="minorEastAsia"/>
          <w:color w:val="auto"/>
          <w:sz w:val="32"/>
          <w:szCs w:val="32"/>
          <w:highlight w:val="none"/>
        </w:rPr>
        <w:t>万元，全年共接待来访团组</w:t>
      </w:r>
      <w:r>
        <w:rPr>
          <w:rFonts w:hint="eastAsia" w:asciiTheme="minorEastAsia" w:hAnsiTheme="minorEastAsia" w:eastAsiaTheme="minorEastAsia"/>
          <w:color w:val="auto"/>
          <w:sz w:val="32"/>
          <w:szCs w:val="32"/>
          <w:highlight w:val="none"/>
          <w:lang w:val="en-US" w:eastAsia="zh-CN"/>
        </w:rPr>
        <w:t>31</w:t>
      </w:r>
      <w:r>
        <w:rPr>
          <w:rFonts w:hint="eastAsia" w:asciiTheme="minorEastAsia" w:hAnsiTheme="minorEastAsia" w:eastAsiaTheme="minorEastAsia"/>
          <w:color w:val="auto"/>
          <w:sz w:val="32"/>
          <w:szCs w:val="32"/>
          <w:highlight w:val="none"/>
        </w:rPr>
        <w:t>个、来宾</w:t>
      </w:r>
      <w:r>
        <w:rPr>
          <w:rFonts w:hint="eastAsia" w:asciiTheme="minorEastAsia" w:hAnsiTheme="minorEastAsia" w:eastAsiaTheme="minorEastAsia"/>
          <w:color w:val="auto"/>
          <w:sz w:val="32"/>
          <w:szCs w:val="32"/>
          <w:highlight w:val="none"/>
          <w:lang w:val="en-US" w:eastAsia="zh-CN"/>
        </w:rPr>
        <w:t>268</w:t>
      </w:r>
      <w:r>
        <w:rPr>
          <w:rFonts w:hint="eastAsia" w:asciiTheme="minorEastAsia" w:hAnsiTheme="minorEastAsia" w:eastAsiaTheme="minorEastAsia"/>
          <w:color w:val="auto"/>
          <w:sz w:val="32"/>
          <w:szCs w:val="32"/>
          <w:highlight w:val="none"/>
        </w:rPr>
        <w:t>人次，主要是</w:t>
      </w:r>
      <w:r>
        <w:rPr>
          <w:rFonts w:hint="eastAsia" w:asciiTheme="minorEastAsia" w:hAnsiTheme="minorEastAsia" w:eastAsiaTheme="minorEastAsia"/>
          <w:color w:val="auto"/>
          <w:sz w:val="32"/>
          <w:szCs w:val="32"/>
          <w:highlight w:val="none"/>
          <w:lang w:eastAsia="zh-CN"/>
        </w:rPr>
        <w:t>公务接待国家、省级领导和专家对疫情防控工作及各项业务线工作督查考核、各县市区业务线对接工作</w:t>
      </w:r>
      <w:r>
        <w:rPr>
          <w:rFonts w:hint="eastAsia" w:asciiTheme="minorEastAsia" w:hAnsiTheme="minorEastAsia" w:eastAsiaTheme="minorEastAsia"/>
          <w:color w:val="auto"/>
          <w:sz w:val="32"/>
          <w:szCs w:val="32"/>
          <w:highlight w:val="none"/>
        </w:rPr>
        <w:t>发生的接待支出</w:t>
      </w:r>
      <w:r>
        <w:rPr>
          <w:rFonts w:hint="eastAsia" w:asciiTheme="minorEastAsia" w:hAnsiTheme="minorEastAsia" w:eastAsiaTheme="minorEastAsia"/>
          <w:color w:val="auto"/>
          <w:sz w:val="32"/>
          <w:szCs w:val="32"/>
          <w:highlight w:val="none"/>
          <w:lang w:eastAsia="zh-CN"/>
        </w:rPr>
        <w:t>、按照市委市政府统一部署，对口接待</w:t>
      </w:r>
      <w:r>
        <w:rPr>
          <w:rFonts w:hint="eastAsia" w:asciiTheme="minorEastAsia" w:hAnsiTheme="minorEastAsia" w:eastAsiaTheme="minorEastAsia"/>
          <w:color w:val="auto"/>
          <w:sz w:val="32"/>
          <w:szCs w:val="32"/>
          <w:highlight w:val="none"/>
          <w:lang w:val="en-US" w:eastAsia="zh-CN"/>
        </w:rPr>
        <w:t>口博会重庆、郴州代表团</w:t>
      </w:r>
      <w:r>
        <w:rPr>
          <w:rFonts w:hint="eastAsia" w:asciiTheme="minorEastAsia" w:hAnsiTheme="minorEastAsia" w:eastAsiaTheme="minorEastAsia"/>
          <w:color w:val="auto"/>
          <w:sz w:val="32"/>
          <w:szCs w:val="32"/>
          <w:highlight w:val="none"/>
        </w:rPr>
        <w:t>。</w:t>
      </w:r>
    </w:p>
    <w:p>
      <w:pPr>
        <w:ind w:firstLine="800" w:firstLineChars="250"/>
        <w:rPr>
          <w:rFonts w:hint="eastAsia" w:cs="黑体" w:asciiTheme="minorEastAsia" w:hAnsiTheme="minorEastAsia" w:eastAsiaTheme="minorEastAsia"/>
          <w:color w:val="auto"/>
          <w:kern w:val="0"/>
          <w:sz w:val="32"/>
          <w:szCs w:val="32"/>
          <w:highlight w:val="none"/>
          <w:lang w:eastAsia="zh-CN"/>
        </w:rPr>
      </w:pPr>
      <w:r>
        <w:rPr>
          <w:rFonts w:hint="eastAsia" w:asciiTheme="minorEastAsia" w:hAnsiTheme="minorEastAsia"/>
          <w:color w:val="auto"/>
          <w:sz w:val="32"/>
          <w:szCs w:val="32"/>
          <w:highlight w:val="none"/>
        </w:rPr>
        <w:t>3、公务用车购置费及运行维护费支出决算为</w:t>
      </w:r>
      <w:r>
        <w:rPr>
          <w:rFonts w:hint="eastAsia" w:asciiTheme="minorEastAsia" w:hAnsiTheme="minorEastAsia"/>
          <w:color w:val="auto"/>
          <w:sz w:val="32"/>
          <w:szCs w:val="32"/>
          <w:highlight w:val="none"/>
          <w:lang w:val="en-US" w:eastAsia="zh-CN"/>
        </w:rPr>
        <w:t>28.83</w:t>
      </w:r>
      <w:r>
        <w:rPr>
          <w:rFonts w:hint="eastAsia" w:asciiTheme="minorEastAsia" w:hAnsiTheme="minorEastAsia"/>
          <w:color w:val="auto"/>
          <w:sz w:val="32"/>
          <w:szCs w:val="32"/>
          <w:highlight w:val="none"/>
        </w:rPr>
        <w:t>万元，其中：公务用车购置费</w:t>
      </w:r>
      <w:r>
        <w:rPr>
          <w:rFonts w:hint="eastAsia" w:asciiTheme="minorEastAsia" w:hAnsiTheme="minorEastAsia"/>
          <w:color w:val="auto"/>
          <w:sz w:val="32"/>
          <w:szCs w:val="32"/>
          <w:highlight w:val="none"/>
          <w:lang w:val="en-US" w:eastAsia="zh-CN"/>
        </w:rPr>
        <w:t>0</w:t>
      </w:r>
      <w:r>
        <w:rPr>
          <w:rFonts w:hint="eastAsia" w:asciiTheme="minorEastAsia" w:hAnsiTheme="minorEastAsia"/>
          <w:color w:val="auto"/>
          <w:sz w:val="32"/>
          <w:szCs w:val="32"/>
          <w:highlight w:val="none"/>
        </w:rPr>
        <w:t>万元，公务用车运行维护费</w:t>
      </w:r>
      <w:r>
        <w:rPr>
          <w:rFonts w:hint="eastAsia" w:asciiTheme="minorEastAsia" w:hAnsiTheme="minorEastAsia"/>
          <w:color w:val="auto"/>
          <w:sz w:val="32"/>
          <w:szCs w:val="32"/>
          <w:highlight w:val="none"/>
          <w:lang w:val="en-US" w:eastAsia="zh-CN"/>
        </w:rPr>
        <w:t>28.83</w:t>
      </w:r>
      <w:r>
        <w:rPr>
          <w:rFonts w:hint="eastAsia" w:asciiTheme="minorEastAsia" w:hAnsiTheme="minorEastAsia"/>
          <w:color w:val="auto"/>
          <w:sz w:val="32"/>
          <w:szCs w:val="32"/>
          <w:highlight w:val="none"/>
        </w:rPr>
        <w:t>万元，主要是</w:t>
      </w:r>
      <w:r>
        <w:rPr>
          <w:rFonts w:hint="eastAsia" w:asciiTheme="minorEastAsia" w:hAnsiTheme="minorEastAsia"/>
          <w:color w:val="auto"/>
          <w:sz w:val="32"/>
          <w:szCs w:val="32"/>
          <w:highlight w:val="none"/>
          <w:lang w:eastAsia="zh-CN"/>
        </w:rPr>
        <w:t>平台租车费、公务用车油料费、车辆维修维护费、公务车辆保险费、过路过桥费等</w:t>
      </w:r>
      <w:r>
        <w:rPr>
          <w:rFonts w:hint="eastAsia" w:asciiTheme="minorEastAsia" w:hAnsiTheme="minorEastAsia"/>
          <w:color w:val="auto"/>
          <w:sz w:val="32"/>
          <w:szCs w:val="32"/>
          <w:highlight w:val="none"/>
        </w:rPr>
        <w:t>支出，截止20</w:t>
      </w:r>
      <w:r>
        <w:rPr>
          <w:rFonts w:hint="eastAsia" w:asciiTheme="minorEastAsia" w:hAnsiTheme="minorEastAsia"/>
          <w:color w:val="auto"/>
          <w:sz w:val="32"/>
          <w:szCs w:val="32"/>
          <w:highlight w:val="none"/>
          <w:lang w:val="en-US" w:eastAsia="zh-CN"/>
        </w:rPr>
        <w:t>21</w:t>
      </w:r>
      <w:r>
        <w:rPr>
          <w:rFonts w:hint="eastAsia" w:asciiTheme="minorEastAsia" w:hAnsiTheme="minorEastAsia"/>
          <w:color w:val="auto"/>
          <w:sz w:val="32"/>
          <w:szCs w:val="32"/>
          <w:highlight w:val="none"/>
        </w:rPr>
        <w:t>年12月31日，我单位开支财政拨款的公务用车保有量为</w:t>
      </w:r>
      <w:r>
        <w:rPr>
          <w:rFonts w:hint="eastAsia" w:asciiTheme="minorEastAsia" w:hAnsiTheme="minorEastAsia"/>
          <w:color w:val="auto"/>
          <w:sz w:val="32"/>
          <w:szCs w:val="32"/>
          <w:highlight w:val="none"/>
          <w:lang w:val="en-US" w:eastAsia="zh-CN"/>
        </w:rPr>
        <w:t>2</w:t>
      </w:r>
      <w:r>
        <w:rPr>
          <w:rFonts w:hint="eastAsia" w:asciiTheme="minorEastAsia" w:hAnsiTheme="minorEastAsia"/>
          <w:color w:val="auto"/>
          <w:sz w:val="32"/>
          <w:szCs w:val="32"/>
          <w:highlight w:val="none"/>
        </w:rPr>
        <w:t>辆。</w:t>
      </w:r>
      <w:r>
        <w:rPr>
          <w:rFonts w:hint="eastAsia" w:asciiTheme="minorEastAsia" w:hAnsiTheme="minorEastAsia"/>
          <w:color w:val="auto"/>
          <w:sz w:val="32"/>
          <w:szCs w:val="32"/>
          <w:highlight w:val="none"/>
          <w:lang w:eastAsia="zh-CN"/>
        </w:rPr>
        <w:t>当年报废</w:t>
      </w:r>
      <w:r>
        <w:rPr>
          <w:rFonts w:hint="eastAsia" w:asciiTheme="minorEastAsia" w:hAnsiTheme="minorEastAsia"/>
          <w:color w:val="auto"/>
          <w:sz w:val="32"/>
          <w:szCs w:val="32"/>
          <w:highlight w:val="none"/>
          <w:lang w:val="en-US" w:eastAsia="zh-CN"/>
        </w:rPr>
        <w:t>0</w:t>
      </w:r>
      <w:r>
        <w:rPr>
          <w:rFonts w:hint="eastAsia" w:asciiTheme="minorEastAsia" w:hAnsiTheme="minorEastAsia"/>
          <w:color w:val="auto"/>
          <w:sz w:val="32"/>
          <w:szCs w:val="32"/>
          <w:highlight w:val="none"/>
          <w:lang w:eastAsia="zh-CN"/>
        </w:rPr>
        <w:t>辆，没有新购公务车辆。</w:t>
      </w:r>
    </w:p>
    <w:p>
      <w:pPr>
        <w:pStyle w:val="14"/>
        <w:ind w:firstLine="640" w:firstLineChars="200"/>
        <w:rPr>
          <w:rFonts w:hAnsi="黑体"/>
          <w:b/>
          <w:color w:val="auto"/>
          <w:sz w:val="32"/>
          <w:szCs w:val="32"/>
          <w:highlight w:val="none"/>
        </w:rPr>
      </w:pPr>
      <w:r>
        <w:rPr>
          <w:rFonts w:hint="eastAsia" w:hAnsi="黑体"/>
          <w:b/>
          <w:color w:val="auto"/>
          <w:sz w:val="32"/>
          <w:szCs w:val="32"/>
          <w:highlight w:val="none"/>
        </w:rPr>
        <w:t>八、政府性基金预算收入支出决算情况</w:t>
      </w:r>
    </w:p>
    <w:p>
      <w:pPr>
        <w:pStyle w:val="14"/>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2021年度政府性基金预算财政拨款收入</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万元；年初结转和结余</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万元；支出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万元，其中基本支出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万元，项目支出</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万元；年末结转和结余</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w:t>
      </w:r>
    </w:p>
    <w:p>
      <w:pPr>
        <w:pStyle w:val="14"/>
        <w:rPr>
          <w:rFonts w:hint="eastAsia" w:asciiTheme="minorEastAsia" w:hAnsiTheme="minorEastAsia" w:eastAsiaTheme="minorEastAsia" w:cstheme="minorBidi"/>
          <w:color w:val="auto"/>
          <w:kern w:val="2"/>
          <w:sz w:val="32"/>
          <w:szCs w:val="32"/>
          <w:highlight w:val="none"/>
          <w:lang w:val="en-US" w:eastAsia="zh-CN" w:bidi="ar-SA"/>
        </w:rPr>
      </w:pPr>
    </w:p>
    <w:p>
      <w:pPr>
        <w:pStyle w:val="14"/>
        <w:ind w:firstLine="640" w:firstLineChars="200"/>
        <w:rPr>
          <w:rFonts w:hAnsi="黑体"/>
          <w:b/>
          <w:color w:val="auto"/>
          <w:sz w:val="32"/>
          <w:szCs w:val="32"/>
          <w:highlight w:val="none"/>
        </w:rPr>
      </w:pPr>
      <w:r>
        <w:rPr>
          <w:rFonts w:hint="eastAsia" w:hAnsi="黑体"/>
          <w:b/>
          <w:color w:val="auto"/>
          <w:sz w:val="32"/>
          <w:szCs w:val="32"/>
          <w:highlight w:val="none"/>
        </w:rPr>
        <w:t>九、国有资本经营预算财政拨款支出决算情况</w:t>
      </w:r>
    </w:p>
    <w:p>
      <w:pPr>
        <w:pStyle w:val="14"/>
        <w:rPr>
          <w:rFonts w:hAnsi="黑体"/>
          <w:b/>
          <w:color w:val="auto"/>
          <w:sz w:val="32"/>
          <w:szCs w:val="32"/>
          <w:highlight w:val="none"/>
        </w:rPr>
      </w:pPr>
      <w:r>
        <w:rPr>
          <w:rFonts w:hint="eastAsia" w:asciiTheme="minorEastAsia" w:hAnsiTheme="minorEastAsia" w:eastAsiaTheme="minorEastAsia"/>
          <w:color w:val="auto"/>
          <w:sz w:val="32"/>
          <w:szCs w:val="32"/>
          <w:highlight w:val="none"/>
        </w:rPr>
        <w:t xml:space="preserve">    202</w:t>
      </w:r>
      <w:r>
        <w:rPr>
          <w:rFonts w:hint="eastAsia" w:asciiTheme="minorEastAsia" w:hAnsiTheme="minorEastAsia" w:eastAsiaTheme="minorEastAsia"/>
          <w:color w:val="auto"/>
          <w:sz w:val="32"/>
          <w:szCs w:val="32"/>
          <w:highlight w:val="none"/>
          <w:lang w:val="en-US" w:eastAsia="zh-CN"/>
        </w:rPr>
        <w:t>1</w:t>
      </w:r>
      <w:r>
        <w:rPr>
          <w:rFonts w:hint="eastAsia" w:asciiTheme="minorEastAsia" w:hAnsiTheme="minorEastAsia" w:eastAsiaTheme="minorEastAsia"/>
          <w:color w:val="auto"/>
          <w:sz w:val="32"/>
          <w:szCs w:val="32"/>
          <w:highlight w:val="none"/>
        </w:rPr>
        <w:t>年度</w:t>
      </w:r>
      <w:r>
        <w:rPr>
          <w:rFonts w:hint="eastAsia" w:asciiTheme="minorEastAsia" w:hAnsiTheme="minorEastAsia" w:eastAsiaTheme="minorEastAsia"/>
          <w:color w:val="auto"/>
          <w:sz w:val="32"/>
          <w:szCs w:val="32"/>
          <w:highlight w:val="none"/>
          <w:lang w:eastAsia="zh-CN"/>
        </w:rPr>
        <w:t>岳阳市卫生健康</w:t>
      </w:r>
      <w:r>
        <w:rPr>
          <w:rFonts w:hint="eastAsia" w:asciiTheme="minorEastAsia" w:hAnsiTheme="minorEastAsia" w:eastAsiaTheme="minorEastAsia"/>
          <w:color w:val="auto"/>
          <w:sz w:val="32"/>
          <w:szCs w:val="32"/>
          <w:highlight w:val="none"/>
          <w:lang w:val="en-US" w:eastAsia="zh-CN"/>
        </w:rPr>
        <w:t>委员会</w:t>
      </w:r>
      <w:r>
        <w:rPr>
          <w:rFonts w:hint="eastAsia" w:asciiTheme="minorEastAsia" w:hAnsiTheme="minorEastAsia" w:eastAsiaTheme="minorEastAsia"/>
          <w:color w:val="auto"/>
          <w:sz w:val="32"/>
          <w:szCs w:val="32"/>
          <w:highlight w:val="none"/>
        </w:rPr>
        <w:t>无国有资本经营预算财政拨款支出</w:t>
      </w:r>
      <w:r>
        <w:rPr>
          <w:rFonts w:asciiTheme="minorEastAsia" w:hAnsiTheme="minorEastAsia" w:eastAsiaTheme="minorEastAsia"/>
          <w:color w:val="auto"/>
          <w:sz w:val="32"/>
          <w:szCs w:val="32"/>
          <w:highlight w:val="none"/>
        </w:rPr>
        <w:t>。</w:t>
      </w:r>
    </w:p>
    <w:p>
      <w:pPr>
        <w:ind w:firstLine="640" w:firstLineChars="200"/>
        <w:rPr>
          <w:rFonts w:cs="黑体" w:asciiTheme="minorEastAsia" w:hAnsiTheme="minorEastAsia"/>
          <w:b/>
          <w:color w:val="auto"/>
          <w:kern w:val="0"/>
          <w:sz w:val="32"/>
          <w:szCs w:val="32"/>
          <w:highlight w:val="none"/>
        </w:rPr>
      </w:pPr>
      <w:r>
        <w:rPr>
          <w:rFonts w:hint="eastAsia" w:hAnsi="黑体"/>
          <w:b/>
          <w:color w:val="auto"/>
          <w:sz w:val="32"/>
          <w:szCs w:val="32"/>
          <w:highlight w:val="none"/>
        </w:rPr>
        <w:t>十、</w:t>
      </w:r>
      <w:r>
        <w:rPr>
          <w:rFonts w:hint="eastAsia" w:cs="黑体" w:asciiTheme="minorEastAsia" w:hAnsiTheme="minorEastAsia"/>
          <w:b/>
          <w:color w:val="auto"/>
          <w:kern w:val="0"/>
          <w:sz w:val="32"/>
          <w:szCs w:val="32"/>
          <w:highlight w:val="none"/>
        </w:rPr>
        <w:t>机关运行经费支出情况</w:t>
      </w:r>
    </w:p>
    <w:p>
      <w:pPr>
        <w:ind w:firstLine="640" w:firstLineChars="200"/>
        <w:rPr>
          <w:rFonts w:hint="eastAsia" w:cs="黑体" w:asciiTheme="minorEastAsia" w:hAnsiTheme="minorEastAsia"/>
          <w:b/>
          <w:color w:val="auto"/>
          <w:kern w:val="0"/>
          <w:sz w:val="32"/>
          <w:szCs w:val="32"/>
          <w:highlight w:val="none"/>
          <w:lang w:val="en-US" w:eastAsia="zh-CN"/>
        </w:rPr>
      </w:pPr>
      <w:r>
        <w:rPr>
          <w:rFonts w:hint="eastAsia" w:cs="黑体" w:asciiTheme="minorEastAsia" w:hAnsiTheme="minorEastAsia"/>
          <w:color w:val="auto"/>
          <w:kern w:val="0"/>
          <w:sz w:val="32"/>
          <w:szCs w:val="32"/>
          <w:highlight w:val="none"/>
        </w:rPr>
        <w:t>本部门20</w:t>
      </w:r>
      <w:r>
        <w:rPr>
          <w:rFonts w:hint="eastAsia" w:cs="黑体" w:asciiTheme="minorEastAsia" w:hAnsiTheme="minorEastAsia"/>
          <w:color w:val="auto"/>
          <w:kern w:val="0"/>
          <w:sz w:val="32"/>
          <w:szCs w:val="32"/>
          <w:highlight w:val="none"/>
          <w:lang w:val="en-US" w:eastAsia="zh-CN"/>
        </w:rPr>
        <w:t>21</w:t>
      </w:r>
      <w:r>
        <w:rPr>
          <w:rFonts w:hint="eastAsia" w:cs="黑体" w:asciiTheme="minorEastAsia" w:hAnsiTheme="minorEastAsia"/>
          <w:color w:val="auto"/>
          <w:kern w:val="0"/>
          <w:sz w:val="32"/>
          <w:szCs w:val="32"/>
          <w:highlight w:val="none"/>
        </w:rPr>
        <w:t>年度机关运行经费支出</w:t>
      </w:r>
      <w:r>
        <w:rPr>
          <w:rFonts w:hint="eastAsia" w:cs="黑体" w:asciiTheme="minorEastAsia" w:hAnsiTheme="minorEastAsia"/>
          <w:color w:val="auto"/>
          <w:kern w:val="0"/>
          <w:sz w:val="32"/>
          <w:szCs w:val="32"/>
          <w:highlight w:val="none"/>
          <w:lang w:val="en-US" w:eastAsia="zh-CN"/>
        </w:rPr>
        <w:t>319.28</w:t>
      </w:r>
      <w:r>
        <w:rPr>
          <w:rFonts w:hint="eastAsia" w:cs="黑体" w:asciiTheme="minorEastAsia" w:hAnsiTheme="minorEastAsia"/>
          <w:color w:val="auto"/>
          <w:kern w:val="0"/>
          <w:sz w:val="32"/>
          <w:szCs w:val="32"/>
          <w:highlight w:val="none"/>
        </w:rPr>
        <w:t>万元，比</w:t>
      </w:r>
      <w:r>
        <w:rPr>
          <w:rFonts w:hint="eastAsia" w:cs="黑体" w:asciiTheme="minorEastAsia" w:hAnsiTheme="minorEastAsia"/>
          <w:color w:val="auto"/>
          <w:kern w:val="0"/>
          <w:sz w:val="32"/>
          <w:szCs w:val="32"/>
          <w:highlight w:val="none"/>
          <w:lang w:eastAsia="zh-CN"/>
        </w:rPr>
        <w:t>上年决算数相比增加</w:t>
      </w:r>
      <w:r>
        <w:rPr>
          <w:rFonts w:hint="eastAsia" w:cs="黑体" w:asciiTheme="minorEastAsia" w:hAnsiTheme="minorEastAsia"/>
          <w:color w:val="auto"/>
          <w:kern w:val="0"/>
          <w:sz w:val="32"/>
          <w:szCs w:val="32"/>
          <w:highlight w:val="none"/>
          <w:lang w:val="en-US" w:eastAsia="zh-CN"/>
        </w:rPr>
        <w:t>12.86</w:t>
      </w:r>
      <w:r>
        <w:rPr>
          <w:rFonts w:hint="eastAsia" w:cs="黑体" w:asciiTheme="minorEastAsia" w:hAnsiTheme="minorEastAsia"/>
          <w:color w:val="auto"/>
          <w:kern w:val="0"/>
          <w:sz w:val="32"/>
          <w:szCs w:val="32"/>
          <w:highlight w:val="none"/>
        </w:rPr>
        <w:t>万元，</w:t>
      </w:r>
      <w:r>
        <w:rPr>
          <w:rFonts w:hint="eastAsia" w:cs="黑体" w:asciiTheme="minorEastAsia" w:hAnsiTheme="minorEastAsia"/>
          <w:color w:val="auto"/>
          <w:kern w:val="0"/>
          <w:sz w:val="32"/>
          <w:szCs w:val="32"/>
          <w:highlight w:val="none"/>
          <w:lang w:eastAsia="zh-CN"/>
        </w:rPr>
        <w:t>增长</w:t>
      </w:r>
      <w:r>
        <w:rPr>
          <w:rFonts w:hint="eastAsia" w:cs="黑体" w:asciiTheme="minorEastAsia" w:hAnsiTheme="minorEastAsia"/>
          <w:color w:val="auto"/>
          <w:kern w:val="0"/>
          <w:sz w:val="32"/>
          <w:szCs w:val="32"/>
          <w:highlight w:val="none"/>
          <w:lang w:val="en-US" w:eastAsia="zh-CN"/>
        </w:rPr>
        <w:t>4.2%。主要原因是：购置了一批办公设备、安装了电梯等。</w:t>
      </w:r>
    </w:p>
    <w:p>
      <w:pPr>
        <w:ind w:firstLine="640" w:firstLineChars="200"/>
        <w:rPr>
          <w:rFonts w:hint="eastAsia" w:hAnsi="黑体"/>
          <w:b/>
          <w:color w:val="auto"/>
          <w:sz w:val="32"/>
          <w:szCs w:val="32"/>
          <w:highlight w:val="none"/>
          <w:lang w:val="en-US" w:eastAsia="zh-CN"/>
        </w:rPr>
      </w:pPr>
      <w:r>
        <w:rPr>
          <w:rFonts w:hint="eastAsia" w:hAnsi="黑体"/>
          <w:b/>
          <w:color w:val="auto"/>
          <w:sz w:val="32"/>
          <w:szCs w:val="32"/>
          <w:highlight w:val="none"/>
          <w:lang w:val="en-US" w:eastAsia="zh-CN"/>
        </w:rPr>
        <w:t>十一、一般性支出情况</w:t>
      </w:r>
    </w:p>
    <w:p>
      <w:pPr>
        <w:ind w:firstLine="640" w:firstLineChars="200"/>
        <w:rPr>
          <w:rFonts w:hint="default" w:asciiTheme="minorEastAsia" w:hAnsiTheme="minorEastAsia" w:eastAsiaTheme="minorEastAsia"/>
          <w:color w:val="auto"/>
          <w:sz w:val="32"/>
          <w:szCs w:val="32"/>
          <w:highlight w:val="none"/>
          <w:lang w:val="en-US" w:eastAsia="zh-CN"/>
        </w:rPr>
      </w:pPr>
      <w:r>
        <w:rPr>
          <w:rFonts w:hint="eastAsia" w:cs="黑体" w:asciiTheme="minorEastAsia" w:hAnsiTheme="minorEastAsia"/>
          <w:color w:val="auto"/>
          <w:kern w:val="0"/>
          <w:sz w:val="32"/>
          <w:szCs w:val="32"/>
          <w:highlight w:val="none"/>
        </w:rPr>
        <w:t>20</w:t>
      </w:r>
      <w:r>
        <w:rPr>
          <w:rFonts w:hint="eastAsia" w:cs="黑体" w:asciiTheme="minorEastAsia" w:hAnsiTheme="minorEastAsia"/>
          <w:color w:val="auto"/>
          <w:kern w:val="0"/>
          <w:sz w:val="32"/>
          <w:szCs w:val="32"/>
          <w:highlight w:val="none"/>
          <w:lang w:val="en-US" w:eastAsia="zh-CN"/>
        </w:rPr>
        <w:t>21</w:t>
      </w:r>
      <w:r>
        <w:rPr>
          <w:rFonts w:hint="eastAsia" w:cs="黑体" w:asciiTheme="minorEastAsia" w:hAnsiTheme="minorEastAsia"/>
          <w:color w:val="auto"/>
          <w:kern w:val="0"/>
          <w:sz w:val="32"/>
          <w:szCs w:val="32"/>
          <w:highlight w:val="none"/>
        </w:rPr>
        <w:t>年本部门开支会议费</w:t>
      </w:r>
      <w:r>
        <w:rPr>
          <w:rFonts w:hint="eastAsia" w:cs="黑体" w:asciiTheme="minorEastAsia" w:hAnsiTheme="minorEastAsia"/>
          <w:color w:val="auto"/>
          <w:kern w:val="0"/>
          <w:sz w:val="32"/>
          <w:szCs w:val="32"/>
          <w:highlight w:val="none"/>
          <w:lang w:val="en-US" w:eastAsia="zh-CN"/>
        </w:rPr>
        <w:t>18.57</w:t>
      </w:r>
      <w:r>
        <w:rPr>
          <w:rFonts w:hint="eastAsia" w:cs="黑体" w:asciiTheme="minorEastAsia" w:hAnsiTheme="minorEastAsia"/>
          <w:color w:val="auto"/>
          <w:kern w:val="0"/>
          <w:sz w:val="32"/>
          <w:szCs w:val="32"/>
          <w:highlight w:val="none"/>
        </w:rPr>
        <w:t>万元，用于召开</w:t>
      </w:r>
      <w:r>
        <w:rPr>
          <w:rFonts w:hint="eastAsia" w:cs="黑体" w:asciiTheme="minorEastAsia" w:hAnsiTheme="minorEastAsia"/>
          <w:color w:val="auto"/>
          <w:kern w:val="0"/>
          <w:sz w:val="32"/>
          <w:szCs w:val="32"/>
          <w:highlight w:val="none"/>
          <w:lang w:eastAsia="zh-CN"/>
        </w:rPr>
        <w:t>全市疫苗接种督导、推进、调度等会议、各业务科室开展年度工作布置会议、半年工作汇报会，深化医改、红十字会改革</w:t>
      </w:r>
      <w:r>
        <w:rPr>
          <w:rFonts w:hint="eastAsia" w:cs="黑体" w:asciiTheme="minorEastAsia" w:hAnsiTheme="minorEastAsia"/>
          <w:color w:val="auto"/>
          <w:kern w:val="0"/>
          <w:sz w:val="32"/>
          <w:szCs w:val="32"/>
          <w:highlight w:val="none"/>
        </w:rPr>
        <w:t>工作会议</w:t>
      </w:r>
      <w:r>
        <w:rPr>
          <w:rFonts w:hint="eastAsia" w:asciiTheme="minorEastAsia" w:hAnsiTheme="minorEastAsia"/>
          <w:color w:val="auto"/>
          <w:sz w:val="32"/>
          <w:szCs w:val="32"/>
          <w:highlight w:val="none"/>
          <w:lang w:val="en-US" w:eastAsia="zh-CN"/>
        </w:rPr>
        <w:t>，</w:t>
      </w:r>
      <w:r>
        <w:rPr>
          <w:rFonts w:hint="eastAsia" w:cs="黑体" w:asciiTheme="minorEastAsia" w:hAnsiTheme="minorEastAsia"/>
          <w:color w:val="auto"/>
          <w:kern w:val="0"/>
          <w:sz w:val="32"/>
          <w:szCs w:val="32"/>
          <w:highlight w:val="none"/>
          <w:lang w:eastAsia="zh-CN"/>
        </w:rPr>
        <w:t>合计</w:t>
      </w:r>
      <w:r>
        <w:rPr>
          <w:rFonts w:hint="eastAsia" w:cs="黑体" w:asciiTheme="minorEastAsia" w:hAnsiTheme="minorEastAsia"/>
          <w:color w:val="auto"/>
          <w:kern w:val="0"/>
          <w:sz w:val="32"/>
          <w:szCs w:val="32"/>
          <w:highlight w:val="none"/>
        </w:rPr>
        <w:t>人数</w:t>
      </w:r>
      <w:r>
        <w:rPr>
          <w:rFonts w:hint="eastAsia" w:cs="黑体" w:asciiTheme="minorEastAsia" w:hAnsiTheme="minorEastAsia"/>
          <w:color w:val="auto"/>
          <w:kern w:val="0"/>
          <w:sz w:val="32"/>
          <w:szCs w:val="32"/>
          <w:highlight w:val="none"/>
          <w:lang w:val="en-US" w:eastAsia="zh-CN"/>
        </w:rPr>
        <w:t>650人次</w:t>
      </w:r>
      <w:r>
        <w:rPr>
          <w:rFonts w:hint="eastAsia" w:cs="黑体" w:asciiTheme="minorEastAsia" w:hAnsiTheme="minorEastAsia"/>
          <w:color w:val="auto"/>
          <w:kern w:val="0"/>
          <w:sz w:val="32"/>
          <w:szCs w:val="32"/>
          <w:highlight w:val="none"/>
        </w:rPr>
        <w:t>；开支培训费</w:t>
      </w:r>
      <w:r>
        <w:rPr>
          <w:rFonts w:hint="eastAsia" w:cs="黑体" w:asciiTheme="minorEastAsia" w:hAnsiTheme="minorEastAsia"/>
          <w:color w:val="auto"/>
          <w:kern w:val="0"/>
          <w:sz w:val="32"/>
          <w:szCs w:val="32"/>
          <w:highlight w:val="none"/>
          <w:lang w:val="en-US" w:eastAsia="zh-CN"/>
        </w:rPr>
        <w:t>41.79万元</w:t>
      </w:r>
      <w:r>
        <w:rPr>
          <w:rFonts w:hint="eastAsia" w:cs="黑体" w:asciiTheme="minorEastAsia" w:hAnsiTheme="minorEastAsia"/>
          <w:color w:val="auto"/>
          <w:kern w:val="0"/>
          <w:sz w:val="32"/>
          <w:szCs w:val="32"/>
          <w:highlight w:val="none"/>
        </w:rPr>
        <w:t>，用于开展</w:t>
      </w:r>
      <w:r>
        <w:rPr>
          <w:rFonts w:hint="eastAsia" w:cs="黑体" w:asciiTheme="minorEastAsia" w:hAnsiTheme="minorEastAsia"/>
          <w:color w:val="auto"/>
          <w:kern w:val="0"/>
          <w:sz w:val="32"/>
          <w:szCs w:val="32"/>
          <w:highlight w:val="none"/>
          <w:lang w:eastAsia="zh-CN"/>
        </w:rPr>
        <w:t>全市应急救护防控演练</w:t>
      </w:r>
      <w:r>
        <w:rPr>
          <w:rFonts w:hint="eastAsia" w:cs="黑体" w:asciiTheme="minorEastAsia" w:hAnsiTheme="minorEastAsia"/>
          <w:color w:val="auto"/>
          <w:kern w:val="0"/>
          <w:sz w:val="32"/>
          <w:szCs w:val="32"/>
          <w:highlight w:val="none"/>
        </w:rPr>
        <w:t>培训</w:t>
      </w:r>
      <w:r>
        <w:rPr>
          <w:rFonts w:hint="eastAsia" w:cs="黑体" w:asciiTheme="minorEastAsia" w:hAnsiTheme="minorEastAsia"/>
          <w:color w:val="auto"/>
          <w:kern w:val="0"/>
          <w:sz w:val="32"/>
          <w:szCs w:val="32"/>
          <w:highlight w:val="none"/>
          <w:lang w:eastAsia="zh-CN"/>
        </w:rPr>
        <w:t>、生物安全培训、安宁疗护推广培训、基层卫生健康能力提升培训等，合计人数</w:t>
      </w:r>
      <w:r>
        <w:rPr>
          <w:rFonts w:hint="eastAsia" w:cs="黑体" w:asciiTheme="minorEastAsia" w:hAnsiTheme="minorEastAsia"/>
          <w:color w:val="auto"/>
          <w:kern w:val="0"/>
          <w:sz w:val="32"/>
          <w:szCs w:val="32"/>
          <w:highlight w:val="none"/>
          <w:lang w:val="en-US" w:eastAsia="zh-CN"/>
        </w:rPr>
        <w:t>1465人</w:t>
      </w:r>
      <w:r>
        <w:rPr>
          <w:rFonts w:hint="eastAsia" w:cs="黑体" w:asciiTheme="minorEastAsia" w:hAnsiTheme="minorEastAsia"/>
          <w:color w:val="auto"/>
          <w:kern w:val="0"/>
          <w:sz w:val="32"/>
          <w:szCs w:val="32"/>
          <w:highlight w:val="none"/>
          <w:lang w:eastAsia="zh-CN"/>
        </w:rPr>
        <w:t>。</w:t>
      </w:r>
      <w:r>
        <w:rPr>
          <w:rFonts w:hint="eastAsia" w:asciiTheme="minorEastAsia" w:hAnsiTheme="minorEastAsia" w:eastAsiaTheme="minorEastAsia"/>
          <w:color w:val="auto"/>
          <w:sz w:val="32"/>
          <w:szCs w:val="32"/>
          <w:highlight w:val="none"/>
          <w:lang w:val="en-US" w:eastAsia="zh-CN"/>
        </w:rPr>
        <w:t>202</w:t>
      </w:r>
      <w:r>
        <w:rPr>
          <w:rFonts w:hint="eastAsia" w:asciiTheme="minorEastAsia" w:hAnsiTheme="minorEastAsia"/>
          <w:color w:val="auto"/>
          <w:sz w:val="32"/>
          <w:szCs w:val="32"/>
          <w:highlight w:val="none"/>
          <w:lang w:val="en-US" w:eastAsia="zh-CN"/>
        </w:rPr>
        <w:t>1</w:t>
      </w:r>
      <w:r>
        <w:rPr>
          <w:rFonts w:hint="eastAsia" w:asciiTheme="minorEastAsia" w:hAnsiTheme="minorEastAsia" w:eastAsiaTheme="minorEastAsia"/>
          <w:color w:val="auto"/>
          <w:sz w:val="32"/>
          <w:szCs w:val="32"/>
          <w:highlight w:val="none"/>
          <w:lang w:val="en-US" w:eastAsia="zh-CN"/>
        </w:rPr>
        <w:t>年本部门</w:t>
      </w:r>
      <w:r>
        <w:rPr>
          <w:rFonts w:hint="eastAsia" w:asciiTheme="minorEastAsia" w:hAnsiTheme="minorEastAsia"/>
          <w:color w:val="auto"/>
          <w:sz w:val="32"/>
          <w:szCs w:val="32"/>
          <w:highlight w:val="none"/>
          <w:lang w:val="en-US" w:eastAsia="zh-CN"/>
        </w:rPr>
        <w:t>未</w:t>
      </w:r>
      <w:r>
        <w:rPr>
          <w:rFonts w:hint="eastAsia" w:asciiTheme="minorEastAsia" w:hAnsiTheme="minorEastAsia" w:eastAsiaTheme="minorEastAsia"/>
          <w:color w:val="auto"/>
          <w:sz w:val="32"/>
          <w:szCs w:val="32"/>
          <w:highlight w:val="none"/>
          <w:lang w:val="en-US" w:eastAsia="zh-CN"/>
        </w:rPr>
        <w:t>举办节庆、晚会、论坛、赛事活动，</w:t>
      </w:r>
      <w:r>
        <w:rPr>
          <w:rFonts w:hint="eastAsia" w:asciiTheme="minorEastAsia" w:hAnsiTheme="minorEastAsia"/>
          <w:color w:val="auto"/>
          <w:sz w:val="32"/>
          <w:szCs w:val="32"/>
          <w:highlight w:val="none"/>
          <w:lang w:val="en-US" w:eastAsia="zh-CN"/>
        </w:rPr>
        <w:t>此项</w:t>
      </w:r>
      <w:r>
        <w:rPr>
          <w:rFonts w:hint="eastAsia" w:asciiTheme="minorEastAsia" w:hAnsiTheme="minorEastAsia" w:eastAsiaTheme="minorEastAsia"/>
          <w:color w:val="auto"/>
          <w:sz w:val="32"/>
          <w:szCs w:val="32"/>
          <w:highlight w:val="none"/>
          <w:lang w:val="en-US" w:eastAsia="zh-CN"/>
        </w:rPr>
        <w:t>开支</w:t>
      </w:r>
      <w:r>
        <w:rPr>
          <w:rFonts w:hint="eastAsia" w:asciiTheme="minorEastAsia" w:hAnsiTheme="minorEastAsia"/>
          <w:color w:val="auto"/>
          <w:sz w:val="32"/>
          <w:szCs w:val="32"/>
          <w:highlight w:val="none"/>
          <w:lang w:val="en-US" w:eastAsia="zh-CN"/>
        </w:rPr>
        <w:t>0万元。</w:t>
      </w:r>
    </w:p>
    <w:p>
      <w:pPr>
        <w:pStyle w:val="14"/>
        <w:ind w:firstLine="640" w:firstLineChars="200"/>
        <w:rPr>
          <w:rFonts w:hAnsi="黑体"/>
          <w:b/>
          <w:color w:val="auto"/>
          <w:sz w:val="32"/>
          <w:szCs w:val="32"/>
          <w:highlight w:val="none"/>
        </w:rPr>
      </w:pPr>
      <w:r>
        <w:rPr>
          <w:rFonts w:hint="eastAsia" w:hAnsi="黑体"/>
          <w:b/>
          <w:color w:val="auto"/>
          <w:sz w:val="32"/>
          <w:szCs w:val="32"/>
          <w:highlight w:val="none"/>
        </w:rPr>
        <w:t>十二、关于政府采购支出说明</w:t>
      </w:r>
    </w:p>
    <w:p>
      <w:pPr>
        <w:ind w:firstLine="640" w:firstLineChars="200"/>
        <w:rPr>
          <w:rFonts w:cs="黑体" w:asciiTheme="minorEastAsia" w:hAnsiTheme="minorEastAsia"/>
          <w:i/>
          <w:color w:val="auto"/>
          <w:kern w:val="0"/>
          <w:sz w:val="32"/>
          <w:szCs w:val="32"/>
          <w:highlight w:val="none"/>
        </w:rPr>
      </w:pPr>
      <w:r>
        <w:rPr>
          <w:rFonts w:hint="eastAsia" w:cs="黑体" w:asciiTheme="minorEastAsia" w:hAnsiTheme="minorEastAsia"/>
          <w:color w:val="auto"/>
          <w:kern w:val="0"/>
          <w:sz w:val="32"/>
          <w:szCs w:val="32"/>
          <w:highlight w:val="none"/>
        </w:rPr>
        <w:t>本部门20</w:t>
      </w:r>
      <w:r>
        <w:rPr>
          <w:rFonts w:hint="eastAsia" w:cs="黑体" w:asciiTheme="minorEastAsia" w:hAnsiTheme="minorEastAsia"/>
          <w:color w:val="auto"/>
          <w:kern w:val="0"/>
          <w:sz w:val="32"/>
          <w:szCs w:val="32"/>
          <w:highlight w:val="none"/>
          <w:lang w:val="en-US" w:eastAsia="zh-CN"/>
        </w:rPr>
        <w:t>21</w:t>
      </w:r>
      <w:r>
        <w:rPr>
          <w:rFonts w:hint="eastAsia" w:cs="黑体" w:asciiTheme="minorEastAsia" w:hAnsiTheme="minorEastAsia"/>
          <w:color w:val="auto"/>
          <w:kern w:val="0"/>
          <w:sz w:val="32"/>
          <w:szCs w:val="32"/>
          <w:highlight w:val="none"/>
        </w:rPr>
        <w:t>年度政府采购支出总额</w:t>
      </w:r>
      <w:r>
        <w:rPr>
          <w:rFonts w:hint="eastAsia" w:cs="黑体" w:asciiTheme="minorEastAsia" w:hAnsiTheme="minorEastAsia"/>
          <w:color w:val="auto"/>
          <w:kern w:val="0"/>
          <w:sz w:val="32"/>
          <w:szCs w:val="32"/>
          <w:highlight w:val="none"/>
          <w:lang w:val="en-US" w:eastAsia="zh-CN"/>
        </w:rPr>
        <w:t>111.54</w:t>
      </w:r>
      <w:r>
        <w:rPr>
          <w:rFonts w:hint="eastAsia" w:cs="黑体" w:asciiTheme="minorEastAsia" w:hAnsiTheme="minorEastAsia"/>
          <w:color w:val="auto"/>
          <w:kern w:val="0"/>
          <w:sz w:val="32"/>
          <w:szCs w:val="32"/>
          <w:highlight w:val="none"/>
        </w:rPr>
        <w:t>万元，其中：政府采购货物支出</w:t>
      </w:r>
      <w:r>
        <w:rPr>
          <w:rFonts w:hint="eastAsia" w:cs="黑体" w:asciiTheme="minorEastAsia" w:hAnsiTheme="minorEastAsia"/>
          <w:color w:val="auto"/>
          <w:kern w:val="0"/>
          <w:sz w:val="32"/>
          <w:szCs w:val="32"/>
          <w:highlight w:val="none"/>
          <w:lang w:val="en-US" w:eastAsia="zh-CN"/>
        </w:rPr>
        <w:t>20.31</w:t>
      </w:r>
      <w:r>
        <w:rPr>
          <w:rFonts w:hint="eastAsia" w:cs="黑体" w:asciiTheme="minorEastAsia" w:hAnsiTheme="minorEastAsia"/>
          <w:color w:val="auto"/>
          <w:kern w:val="0"/>
          <w:sz w:val="32"/>
          <w:szCs w:val="32"/>
          <w:highlight w:val="none"/>
        </w:rPr>
        <w:t>万元、政府采购工程支出</w:t>
      </w:r>
      <w:r>
        <w:rPr>
          <w:rFonts w:hint="eastAsia" w:cs="黑体" w:asciiTheme="minorEastAsia" w:hAnsiTheme="minorEastAsia"/>
          <w:color w:val="auto"/>
          <w:kern w:val="0"/>
          <w:sz w:val="32"/>
          <w:szCs w:val="32"/>
          <w:highlight w:val="none"/>
          <w:lang w:val="en-US" w:eastAsia="zh-CN"/>
        </w:rPr>
        <w:t>7.4</w:t>
      </w:r>
      <w:r>
        <w:rPr>
          <w:rFonts w:hint="eastAsia" w:cs="黑体" w:asciiTheme="minorEastAsia" w:hAnsiTheme="minorEastAsia"/>
          <w:color w:val="auto"/>
          <w:kern w:val="0"/>
          <w:sz w:val="32"/>
          <w:szCs w:val="32"/>
          <w:highlight w:val="none"/>
        </w:rPr>
        <w:t>万元、政府采购服务支出</w:t>
      </w:r>
      <w:r>
        <w:rPr>
          <w:rFonts w:hint="eastAsia" w:cs="黑体" w:asciiTheme="minorEastAsia" w:hAnsiTheme="minorEastAsia"/>
          <w:color w:val="auto"/>
          <w:kern w:val="0"/>
          <w:sz w:val="32"/>
          <w:szCs w:val="32"/>
          <w:highlight w:val="none"/>
          <w:lang w:val="en-US" w:eastAsia="zh-CN"/>
        </w:rPr>
        <w:t>83.83</w:t>
      </w:r>
      <w:r>
        <w:rPr>
          <w:rFonts w:hint="eastAsia" w:cs="黑体" w:asciiTheme="minorEastAsia" w:hAnsiTheme="minorEastAsia"/>
          <w:color w:val="auto"/>
          <w:kern w:val="0"/>
          <w:sz w:val="32"/>
          <w:szCs w:val="32"/>
          <w:highlight w:val="none"/>
        </w:rPr>
        <w:t>万元。授予中小企业合同金额</w:t>
      </w:r>
      <w:r>
        <w:rPr>
          <w:rFonts w:hint="eastAsia" w:cs="黑体" w:asciiTheme="minorEastAsia" w:hAnsiTheme="minorEastAsia"/>
          <w:color w:val="auto"/>
          <w:kern w:val="0"/>
          <w:sz w:val="32"/>
          <w:szCs w:val="32"/>
          <w:highlight w:val="none"/>
          <w:lang w:val="en-US" w:eastAsia="zh-CN"/>
        </w:rPr>
        <w:t>111.54</w:t>
      </w:r>
      <w:r>
        <w:rPr>
          <w:rFonts w:hint="eastAsia" w:cs="黑体" w:asciiTheme="minorEastAsia" w:hAnsiTheme="minorEastAsia"/>
          <w:color w:val="auto"/>
          <w:kern w:val="0"/>
          <w:sz w:val="32"/>
          <w:szCs w:val="32"/>
          <w:highlight w:val="none"/>
        </w:rPr>
        <w:t>万元，占政府采购支出总额的</w:t>
      </w:r>
      <w:r>
        <w:rPr>
          <w:rFonts w:hint="eastAsia" w:cs="黑体" w:asciiTheme="minorEastAsia" w:hAnsiTheme="minorEastAsia"/>
          <w:color w:val="auto"/>
          <w:kern w:val="0"/>
          <w:sz w:val="32"/>
          <w:szCs w:val="32"/>
          <w:highlight w:val="none"/>
          <w:lang w:val="en-US" w:eastAsia="zh-CN"/>
        </w:rPr>
        <w:t>100</w:t>
      </w:r>
      <w:r>
        <w:rPr>
          <w:rFonts w:hint="eastAsia" w:cs="黑体" w:asciiTheme="minorEastAsia" w:hAnsiTheme="minorEastAsia"/>
          <w:color w:val="auto"/>
          <w:kern w:val="0"/>
          <w:sz w:val="32"/>
          <w:szCs w:val="32"/>
          <w:highlight w:val="none"/>
        </w:rPr>
        <w:t>%，其中：授予小微企业合同金额</w:t>
      </w:r>
      <w:r>
        <w:rPr>
          <w:rFonts w:hint="eastAsia" w:cs="黑体" w:asciiTheme="minorEastAsia" w:hAnsiTheme="minorEastAsia"/>
          <w:color w:val="auto"/>
          <w:kern w:val="0"/>
          <w:sz w:val="32"/>
          <w:szCs w:val="32"/>
          <w:highlight w:val="none"/>
          <w:lang w:val="en-US" w:eastAsia="zh-CN"/>
        </w:rPr>
        <w:t>61.42</w:t>
      </w:r>
      <w:r>
        <w:rPr>
          <w:rFonts w:hint="eastAsia" w:cs="黑体" w:asciiTheme="minorEastAsia" w:hAnsiTheme="minorEastAsia"/>
          <w:color w:val="auto"/>
          <w:kern w:val="0"/>
          <w:sz w:val="32"/>
          <w:szCs w:val="32"/>
          <w:highlight w:val="none"/>
        </w:rPr>
        <w:t>万元，</w:t>
      </w:r>
      <w:r>
        <w:rPr>
          <w:rFonts w:hint="eastAsia" w:cs="黑体" w:asciiTheme="minorEastAsia" w:hAnsiTheme="minorEastAsia"/>
          <w:color w:val="auto"/>
          <w:kern w:val="0"/>
          <w:sz w:val="32"/>
          <w:szCs w:val="32"/>
          <w:highlight w:val="none"/>
          <w:lang w:eastAsia="zh-CN"/>
        </w:rPr>
        <w:t>占授予中小企业合同金额的</w:t>
      </w:r>
      <w:r>
        <w:rPr>
          <w:rFonts w:hint="eastAsia" w:cs="黑体" w:asciiTheme="minorEastAsia" w:hAnsiTheme="minorEastAsia"/>
          <w:color w:val="auto"/>
          <w:kern w:val="0"/>
          <w:sz w:val="32"/>
          <w:szCs w:val="32"/>
          <w:highlight w:val="none"/>
          <w:lang w:val="en-US" w:eastAsia="zh-CN"/>
        </w:rPr>
        <w:t>55.07%，</w:t>
      </w:r>
      <w:r>
        <w:rPr>
          <w:rFonts w:hint="eastAsia" w:cs="黑体" w:asciiTheme="minorEastAsia" w:hAnsiTheme="minorEastAsia"/>
          <w:color w:val="auto"/>
          <w:kern w:val="0"/>
          <w:sz w:val="32"/>
          <w:szCs w:val="32"/>
          <w:highlight w:val="none"/>
        </w:rPr>
        <w:t>占政府采购支出总额的</w:t>
      </w:r>
      <w:r>
        <w:rPr>
          <w:rFonts w:hint="eastAsia" w:cs="黑体" w:asciiTheme="minorEastAsia" w:hAnsiTheme="minorEastAsia"/>
          <w:color w:val="auto"/>
          <w:kern w:val="0"/>
          <w:sz w:val="32"/>
          <w:szCs w:val="32"/>
          <w:highlight w:val="none"/>
          <w:lang w:val="en-US" w:eastAsia="zh-CN"/>
        </w:rPr>
        <w:t>55.07</w:t>
      </w:r>
      <w:r>
        <w:rPr>
          <w:rFonts w:hint="eastAsia" w:cs="黑体" w:asciiTheme="minorEastAsia" w:hAnsiTheme="minorEastAsia"/>
          <w:color w:val="auto"/>
          <w:kern w:val="0"/>
          <w:sz w:val="32"/>
          <w:szCs w:val="32"/>
          <w:highlight w:val="none"/>
        </w:rPr>
        <w:t>%。</w:t>
      </w:r>
    </w:p>
    <w:p>
      <w:pPr>
        <w:pStyle w:val="14"/>
        <w:ind w:firstLine="640" w:firstLineChars="200"/>
        <w:rPr>
          <w:rFonts w:hAnsi="黑体"/>
          <w:b/>
          <w:color w:val="auto"/>
          <w:sz w:val="32"/>
          <w:szCs w:val="32"/>
          <w:highlight w:val="none"/>
        </w:rPr>
      </w:pPr>
      <w:r>
        <w:rPr>
          <w:rFonts w:hint="eastAsia" w:hAnsi="黑体"/>
          <w:b/>
          <w:color w:val="auto"/>
          <w:sz w:val="32"/>
          <w:szCs w:val="32"/>
          <w:highlight w:val="none"/>
        </w:rPr>
        <w:t>十三、关于国有资产占用情况说明</w:t>
      </w:r>
    </w:p>
    <w:p>
      <w:pPr>
        <w:ind w:firstLine="640" w:firstLineChars="20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截至20</w:t>
      </w:r>
      <w:r>
        <w:rPr>
          <w:rFonts w:hint="eastAsia" w:cs="黑体" w:asciiTheme="minorEastAsia" w:hAnsiTheme="minorEastAsia"/>
          <w:color w:val="auto"/>
          <w:kern w:val="0"/>
          <w:sz w:val="32"/>
          <w:szCs w:val="32"/>
          <w:highlight w:val="none"/>
          <w:lang w:val="en-US" w:eastAsia="zh-CN"/>
        </w:rPr>
        <w:t>21</w:t>
      </w:r>
      <w:r>
        <w:rPr>
          <w:rFonts w:hint="eastAsia" w:cs="黑体" w:asciiTheme="minorEastAsia" w:hAnsiTheme="minorEastAsia"/>
          <w:color w:val="auto"/>
          <w:kern w:val="0"/>
          <w:sz w:val="32"/>
          <w:szCs w:val="32"/>
          <w:highlight w:val="none"/>
        </w:rPr>
        <w:t>年12月31日，本单位共有车辆</w:t>
      </w:r>
      <w:r>
        <w:rPr>
          <w:rFonts w:hint="eastAsia" w:cs="黑体" w:asciiTheme="minorEastAsia" w:hAnsiTheme="minorEastAsia"/>
          <w:color w:val="auto"/>
          <w:kern w:val="0"/>
          <w:sz w:val="32"/>
          <w:szCs w:val="32"/>
          <w:highlight w:val="none"/>
          <w:lang w:val="en-US" w:eastAsia="zh-CN"/>
        </w:rPr>
        <w:t>2</w:t>
      </w:r>
      <w:r>
        <w:rPr>
          <w:rFonts w:hint="eastAsia" w:cs="黑体" w:asciiTheme="minorEastAsia" w:hAnsiTheme="minorEastAsia"/>
          <w:color w:val="auto"/>
          <w:kern w:val="0"/>
          <w:sz w:val="32"/>
          <w:szCs w:val="32"/>
          <w:highlight w:val="none"/>
        </w:rPr>
        <w:t>辆，</w:t>
      </w:r>
      <w:r>
        <w:rPr>
          <w:rFonts w:hint="eastAsia" w:asciiTheme="minorEastAsia" w:hAnsiTheme="minorEastAsia" w:eastAsiaTheme="minorEastAsia"/>
          <w:color w:val="auto"/>
          <w:sz w:val="32"/>
          <w:szCs w:val="32"/>
          <w:highlight w:val="none"/>
        </w:rPr>
        <w:t>其中，主要领导干部用车</w:t>
      </w:r>
      <w:r>
        <w:rPr>
          <w:rFonts w:hint="eastAsia" w:asciiTheme="minorEastAsia" w:hAnsi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辆，机要通信用车</w:t>
      </w:r>
      <w:r>
        <w:rPr>
          <w:rFonts w:hint="eastAsia" w:asciiTheme="minorEastAsia" w:hAnsiTheme="minorEastAsia"/>
          <w:color w:val="auto"/>
          <w:sz w:val="32"/>
          <w:szCs w:val="32"/>
          <w:highlight w:val="none"/>
          <w:lang w:val="en-US" w:eastAsia="zh-CN"/>
        </w:rPr>
        <w:t>1</w:t>
      </w:r>
      <w:r>
        <w:rPr>
          <w:rFonts w:hint="eastAsia" w:asciiTheme="minorEastAsia" w:hAnsiTheme="minorEastAsia" w:eastAsiaTheme="minorEastAsia"/>
          <w:color w:val="auto"/>
          <w:sz w:val="32"/>
          <w:szCs w:val="32"/>
          <w:highlight w:val="none"/>
        </w:rPr>
        <w:t>辆、应急保障用车</w:t>
      </w:r>
      <w:r>
        <w:rPr>
          <w:rFonts w:hint="eastAsia" w:asciiTheme="minorEastAsia" w:hAnsiTheme="minorEastAsia"/>
          <w:color w:val="auto"/>
          <w:sz w:val="32"/>
          <w:szCs w:val="32"/>
          <w:highlight w:val="none"/>
          <w:lang w:val="en-US" w:eastAsia="zh-CN"/>
        </w:rPr>
        <w:t>1</w:t>
      </w:r>
      <w:r>
        <w:rPr>
          <w:rFonts w:hint="eastAsia" w:asciiTheme="minorEastAsia" w:hAnsiTheme="minorEastAsia" w:eastAsiaTheme="minorEastAsia"/>
          <w:color w:val="auto"/>
          <w:sz w:val="32"/>
          <w:szCs w:val="32"/>
          <w:highlight w:val="none"/>
        </w:rPr>
        <w:t>辆、执法执勤用车</w:t>
      </w:r>
      <w:r>
        <w:rPr>
          <w:rFonts w:hint="eastAsia" w:asciiTheme="minorEastAsia" w:hAnsi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辆、特种专业技术用车</w:t>
      </w:r>
      <w:r>
        <w:rPr>
          <w:rFonts w:hint="eastAsia" w:asciiTheme="minorEastAsia" w:hAnsi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辆、其他用车</w:t>
      </w:r>
      <w:r>
        <w:rPr>
          <w:rFonts w:hint="eastAsia" w:asciiTheme="minorEastAsia" w:hAnsi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辆；单位价值50万元以上通用设备</w:t>
      </w:r>
      <w:r>
        <w:rPr>
          <w:rFonts w:hint="eastAsia" w:asciiTheme="minorEastAsia" w:hAnsi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台（套）；单位价值100万元以上专用设备</w:t>
      </w:r>
      <w:r>
        <w:rPr>
          <w:rFonts w:hint="eastAsia" w:asciiTheme="minorEastAsia" w:hAnsi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台（套）。</w:t>
      </w:r>
    </w:p>
    <w:p>
      <w:pPr>
        <w:pStyle w:val="14"/>
        <w:ind w:firstLine="640" w:firstLineChars="200"/>
        <w:rPr>
          <w:rFonts w:hAnsi="黑体"/>
          <w:b/>
          <w:color w:val="auto"/>
          <w:sz w:val="32"/>
          <w:szCs w:val="32"/>
          <w:highlight w:val="none"/>
        </w:rPr>
      </w:pPr>
      <w:r>
        <w:rPr>
          <w:rFonts w:hint="eastAsia" w:hAnsi="黑体"/>
          <w:b/>
          <w:color w:val="auto"/>
          <w:sz w:val="32"/>
          <w:szCs w:val="32"/>
          <w:highlight w:val="none"/>
        </w:rPr>
        <w:t>十四、关于202</w:t>
      </w:r>
      <w:r>
        <w:rPr>
          <w:rFonts w:hint="eastAsia" w:hAnsi="黑体"/>
          <w:b/>
          <w:color w:val="auto"/>
          <w:sz w:val="32"/>
          <w:szCs w:val="32"/>
          <w:highlight w:val="none"/>
          <w:lang w:val="en-US" w:eastAsia="zh-CN"/>
        </w:rPr>
        <w:t>1</w:t>
      </w:r>
      <w:r>
        <w:rPr>
          <w:rFonts w:hint="eastAsia" w:hAnsi="黑体"/>
          <w:b/>
          <w:color w:val="auto"/>
          <w:sz w:val="32"/>
          <w:szCs w:val="32"/>
          <w:highlight w:val="none"/>
        </w:rPr>
        <w:t>年度预算绩效情况的说明</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（1）绩效管理评价工作开展情况</w:t>
      </w:r>
      <w:r>
        <w:rPr>
          <w:rFonts w:hint="eastAsia" w:ascii="宋体" w:hAnsi="宋体" w:cs="黑体"/>
          <w:color w:val="000000"/>
          <w:kern w:val="0"/>
          <w:sz w:val="32"/>
          <w:szCs w:val="32"/>
        </w:rPr>
        <w:t>。</w:t>
      </w:r>
    </w:p>
    <w:p>
      <w:pPr>
        <w:autoSpaceDE w:val="0"/>
        <w:autoSpaceDN w:val="0"/>
        <w:adjustRightInd w:val="0"/>
        <w:ind w:firstLine="640" w:firstLineChars="200"/>
        <w:jc w:val="left"/>
        <w:rPr>
          <w:rFonts w:hint="eastAsia" w:ascii="宋体" w:hAnsi="宋体" w:cs="黑体"/>
          <w:color w:val="000000"/>
          <w:kern w:val="0"/>
          <w:sz w:val="32"/>
          <w:szCs w:val="32"/>
          <w:lang w:val="en-US" w:eastAsia="zh-CN"/>
        </w:rPr>
      </w:pPr>
      <w:r>
        <w:rPr>
          <w:rFonts w:hint="eastAsia" w:ascii="宋体" w:hAnsi="宋体" w:cs="黑体"/>
          <w:color w:val="000000"/>
          <w:kern w:val="0"/>
          <w:sz w:val="32"/>
          <w:szCs w:val="32"/>
        </w:rPr>
        <w:t>组织对“</w:t>
      </w:r>
      <w:r>
        <w:rPr>
          <w:rFonts w:hint="eastAsia" w:ascii="宋体" w:hAnsi="宋体" w:cs="黑体"/>
          <w:color w:val="000000"/>
          <w:kern w:val="0"/>
          <w:sz w:val="32"/>
          <w:szCs w:val="32"/>
          <w:lang w:eastAsia="zh-CN"/>
        </w:rPr>
        <w:t>岳阳市卫生健康委员会</w:t>
      </w:r>
      <w:r>
        <w:rPr>
          <w:rFonts w:hint="eastAsia" w:ascii="宋体" w:hAnsi="宋体" w:cs="黑体"/>
          <w:color w:val="000000"/>
          <w:kern w:val="0"/>
          <w:sz w:val="32"/>
          <w:szCs w:val="32"/>
        </w:rPr>
        <w:t>”</w:t>
      </w: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rPr>
        <w:t>个单位开展整体支出绩效评价，涉及一般公共预算支出</w:t>
      </w:r>
      <w:r>
        <w:rPr>
          <w:rFonts w:hint="eastAsia" w:ascii="宋体" w:hAnsi="宋体" w:cs="黑体"/>
          <w:color w:val="000000"/>
          <w:kern w:val="0"/>
          <w:sz w:val="32"/>
          <w:szCs w:val="32"/>
          <w:lang w:val="en-US" w:eastAsia="zh-CN"/>
        </w:rPr>
        <w:t>2965.73</w:t>
      </w:r>
      <w:r>
        <w:rPr>
          <w:rFonts w:hint="eastAsia" w:ascii="宋体" w:hAnsi="宋体" w:cs="黑体"/>
          <w:color w:val="000000"/>
          <w:kern w:val="0"/>
          <w:sz w:val="32"/>
          <w:szCs w:val="32"/>
        </w:rPr>
        <w:t>万元，政府性基金预算支出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万元。从评价情况来看，</w:t>
      </w:r>
      <w:r>
        <w:rPr>
          <w:rFonts w:hint="eastAsia" w:ascii="宋体" w:hAnsi="宋体" w:cs="黑体"/>
          <w:color w:val="000000"/>
          <w:kern w:val="0"/>
          <w:sz w:val="32"/>
          <w:szCs w:val="32"/>
          <w:lang w:eastAsia="zh-CN"/>
        </w:rPr>
        <w:t>单位整体运行情况好，整体绩效自评为优秀。</w:t>
      </w:r>
      <w:r>
        <w:rPr>
          <w:rFonts w:hint="eastAsia" w:ascii="宋体" w:hAnsi="宋体" w:cs="黑体"/>
          <w:color w:val="000000"/>
          <w:kern w:val="0"/>
          <w:sz w:val="32"/>
          <w:szCs w:val="32"/>
          <w:lang w:val="en-US" w:eastAsia="zh-CN"/>
        </w:rPr>
        <w:t>（一）疫情防控守住了湖南“北大门”。（二）深化医改实现了新的突破，投资2亿多元建设一体化数据中心和医疗服务云、健康服务云、公卫服务云和综合监管云。省卫健委已公示岳阳市为2021年度公立医院综合改革真抓实干成效明显市州。（三）健康岳阳行动展现了新的气象。（四）项目建设得到了全面推进，市委市政府积极推动优质医疗资源扩容和均衡布局，开工建设岳阳市中心医院、岳阳市公共卫生医疗中心及肿瘤诊疗中心，总投资39.9亿元、总面积420.6亩。投入2.3亿元，开工建设了市防疫应急物资储备库。加快市人民医院门诊楼、市中医医院住院楼、市妇女儿童医院、市疾控中心等项目建设。（五）中医药发展取得了实质进展，出台了《岳阳市委市政府关于促进中医药传承创新发展的实施方案》市政府建立岳阳市中医药传承创新发展联席会议制度，全市8家二级以上中医院均争取了国家基层名医工作室项目，培养名医继承人40人。（六）民生实事办理增进了群众获得感，3项省级重点民生实事全面完成，岳阳市疾控中心、岳阳楼区疾控中心、平江县疾控中心和湘阴县疾控中心标准化建设项目完成进度均达到100%。中医药服务基层全覆盖任务在全省率先完成130家项目单位建设，为全省第一个完成所有建设任务的地州市。全市孕产妇免费产前筛查已完成31755例，完成进度100.81%。7家三级医疗机构实行医学检验影像检查项目结果互认，15家二级医院医学检验检查项目和13家二级医院医学影像检查资料实行互认，着力减轻群众看病就医负担。8家基层机构开展胸痛救治单元建设试点，打通胸痛救治起跑一公里。推进3岁以下婴幼儿照护机构建设，获批28个国家普惠托育项目。开展医养结合机构服务质量提升行动和老年友善医疗机构创建，创建医养结合示范乡镇6个，创建全国示范性老年友好型社区3个，建设老年友善医疗机构190家，开通老年人就医“绿色通道”，提升老年人就医体验。开展“服务百姓健康行动”大型义诊、“红十字博爱送万家”、“助医、助学、助孤、助残”和计生特殊家庭关心关爱等活动，发放慰问款物800余万元。（七）管党治党做到了全面从严，大力推进公立医院党的建设，全市二级以上公立医院落实了党委书记和院长分设，并制定了党委会议议事决策规则。大力推行“支部建在科室，堡垒强在支部”，选优配强党支部书记和支委委员，开展示范党支部、党史学习教育活动，构筑坚强政治堡垒。严格落实市委一鸥书记关于卫生健康工作指示批示精神，对照市委组织部对卫健系统调研报告指出的问题，制定问题整改方案，召开问题整改推进大会，全面推进了整改任务落地见效。部署开展“清廉医保”专项监督检查，推进“清廉医院”建设，营造风清气正的医疗卫生环境。</w:t>
      </w:r>
    </w:p>
    <w:p>
      <w:pPr>
        <w:ind w:firstLine="640" w:firstLineChars="200"/>
        <w:rPr>
          <w:sz w:val="32"/>
          <w:szCs w:val="32"/>
        </w:rPr>
      </w:pPr>
      <w:r>
        <w:rPr>
          <w:rFonts w:hint="eastAsia"/>
          <w:sz w:val="32"/>
          <w:szCs w:val="32"/>
        </w:rPr>
        <w:t>预算绩效管理开展情况、绩效目标和绩效评价报告等，一并作为附件公开。</w:t>
      </w:r>
    </w:p>
    <w:p>
      <w:pPr>
        <w:pStyle w:val="14"/>
        <w:jc w:val="both"/>
        <w:rPr>
          <w:color w:val="auto"/>
          <w:sz w:val="72"/>
          <w:szCs w:val="72"/>
          <w:highlight w:val="none"/>
        </w:rPr>
      </w:pPr>
    </w:p>
    <w:p>
      <w:pPr>
        <w:pStyle w:val="14"/>
        <w:jc w:val="both"/>
        <w:rPr>
          <w:color w:val="auto"/>
          <w:sz w:val="72"/>
          <w:szCs w:val="72"/>
          <w:highlight w:val="none"/>
        </w:rPr>
      </w:pPr>
    </w:p>
    <w:p>
      <w:pPr>
        <w:pStyle w:val="14"/>
        <w:jc w:val="both"/>
        <w:rPr>
          <w:color w:val="auto"/>
          <w:sz w:val="72"/>
          <w:szCs w:val="72"/>
          <w:highlight w:val="none"/>
        </w:rPr>
      </w:pPr>
    </w:p>
    <w:p>
      <w:pPr>
        <w:pStyle w:val="14"/>
        <w:jc w:val="both"/>
        <w:rPr>
          <w:color w:val="auto"/>
          <w:sz w:val="72"/>
          <w:szCs w:val="72"/>
          <w:highlight w:val="none"/>
        </w:rPr>
      </w:pPr>
    </w:p>
    <w:p>
      <w:pPr>
        <w:pStyle w:val="14"/>
        <w:jc w:val="both"/>
        <w:rPr>
          <w:color w:val="auto"/>
          <w:sz w:val="72"/>
          <w:szCs w:val="72"/>
          <w:highlight w:val="none"/>
        </w:rPr>
      </w:pPr>
    </w:p>
    <w:p>
      <w:pPr>
        <w:pStyle w:val="14"/>
        <w:jc w:val="both"/>
        <w:rPr>
          <w:color w:val="auto"/>
          <w:sz w:val="72"/>
          <w:szCs w:val="72"/>
          <w:highlight w:val="none"/>
        </w:rPr>
      </w:pPr>
    </w:p>
    <w:p>
      <w:pPr>
        <w:pStyle w:val="14"/>
        <w:jc w:val="both"/>
        <w:rPr>
          <w:color w:val="auto"/>
          <w:sz w:val="72"/>
          <w:szCs w:val="72"/>
          <w:highlight w:val="none"/>
        </w:rPr>
      </w:pPr>
    </w:p>
    <w:p>
      <w:pPr>
        <w:pStyle w:val="14"/>
        <w:jc w:val="both"/>
        <w:rPr>
          <w:color w:val="auto"/>
          <w:sz w:val="72"/>
          <w:szCs w:val="72"/>
          <w:highlight w:val="none"/>
        </w:rPr>
      </w:pPr>
    </w:p>
    <w:p>
      <w:pPr>
        <w:pStyle w:val="14"/>
        <w:jc w:val="both"/>
        <w:rPr>
          <w:color w:val="auto"/>
          <w:sz w:val="72"/>
          <w:szCs w:val="72"/>
          <w:highlight w:val="none"/>
        </w:rPr>
      </w:pPr>
    </w:p>
    <w:p>
      <w:pPr>
        <w:pStyle w:val="14"/>
        <w:jc w:val="both"/>
        <w:rPr>
          <w:color w:val="auto"/>
          <w:sz w:val="72"/>
          <w:szCs w:val="72"/>
          <w:highlight w:val="none"/>
        </w:rPr>
      </w:pPr>
    </w:p>
    <w:p>
      <w:pPr>
        <w:pStyle w:val="14"/>
        <w:jc w:val="both"/>
        <w:rPr>
          <w:color w:val="auto"/>
          <w:sz w:val="72"/>
          <w:szCs w:val="72"/>
          <w:highlight w:val="none"/>
        </w:rPr>
      </w:pPr>
    </w:p>
    <w:p>
      <w:pPr>
        <w:pStyle w:val="14"/>
        <w:jc w:val="both"/>
        <w:rPr>
          <w:color w:val="auto"/>
          <w:sz w:val="72"/>
          <w:szCs w:val="72"/>
          <w:highlight w:val="none"/>
        </w:rPr>
      </w:pPr>
    </w:p>
    <w:p>
      <w:pPr>
        <w:pStyle w:val="14"/>
        <w:jc w:val="both"/>
        <w:rPr>
          <w:color w:val="auto"/>
          <w:sz w:val="72"/>
          <w:szCs w:val="72"/>
          <w:highlight w:val="none"/>
        </w:rPr>
      </w:pPr>
    </w:p>
    <w:p>
      <w:pPr>
        <w:pStyle w:val="14"/>
        <w:jc w:val="center"/>
        <w:rPr>
          <w:color w:val="auto"/>
          <w:sz w:val="72"/>
          <w:szCs w:val="72"/>
          <w:highlight w:val="none"/>
        </w:rPr>
      </w:pPr>
    </w:p>
    <w:p>
      <w:pPr>
        <w:pStyle w:val="14"/>
        <w:jc w:val="center"/>
        <w:rPr>
          <w:rFonts w:ascii="黑体" w:eastAsia="黑体" w:cs="黑体"/>
          <w:color w:val="auto"/>
          <w:kern w:val="0"/>
          <w:sz w:val="70"/>
          <w:szCs w:val="70"/>
          <w:highlight w:val="none"/>
        </w:rPr>
      </w:pPr>
      <w:r>
        <w:rPr>
          <w:rFonts w:hint="eastAsia"/>
          <w:color w:val="auto"/>
          <w:sz w:val="72"/>
          <w:szCs w:val="72"/>
          <w:highlight w:val="none"/>
        </w:rPr>
        <w:t>第四部分</w:t>
      </w:r>
    </w:p>
    <w:p>
      <w:pPr>
        <w:jc w:val="center"/>
        <w:rPr>
          <w:rFonts w:ascii="黑体" w:eastAsia="黑体" w:cs="黑体"/>
          <w:color w:val="auto"/>
          <w:kern w:val="0"/>
          <w:sz w:val="70"/>
          <w:szCs w:val="70"/>
          <w:highlight w:val="none"/>
        </w:rPr>
      </w:pPr>
      <w:r>
        <w:rPr>
          <w:rFonts w:hint="eastAsia" w:ascii="黑体" w:eastAsia="黑体" w:cs="黑体"/>
          <w:color w:val="auto"/>
          <w:kern w:val="0"/>
          <w:sz w:val="70"/>
          <w:szCs w:val="70"/>
          <w:highlight w:val="none"/>
        </w:rPr>
        <w:t>名词解释</w:t>
      </w:r>
    </w:p>
    <w:p>
      <w:pPr>
        <w:widowControl/>
        <w:jc w:val="left"/>
        <w:rPr>
          <w:rFonts w:cs="黑体" w:asciiTheme="minorEastAsia" w:hAnsiTheme="minorEastAsia"/>
          <w:color w:val="auto"/>
          <w:kern w:val="0"/>
          <w:sz w:val="32"/>
          <w:szCs w:val="32"/>
          <w:highlight w:val="none"/>
        </w:rPr>
      </w:pP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1、机关运行经费：是指各医疗卫生单位的公用经费，包括办公及印刷费、邮电费、差旅费、会议费、福利费、日常维修费、专用资料及一般设备购置费、办公用房水电费、办公用房取暖费、办公用房物业管理费、公务用车运行维护费以及其他费用。</w:t>
      </w:r>
    </w:p>
    <w:p>
      <w:pPr>
        <w:pStyle w:val="7"/>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2、“三公”经费：纳入市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jc w:val="left"/>
        <w:rPr>
          <w:color w:val="auto"/>
          <w:sz w:val="72"/>
          <w:szCs w:val="72"/>
          <w:highlight w:val="none"/>
        </w:rPr>
      </w:pPr>
    </w:p>
    <w:p>
      <w:pPr>
        <w:widowControl/>
        <w:jc w:val="left"/>
        <w:rPr>
          <w:color w:val="auto"/>
          <w:sz w:val="72"/>
          <w:szCs w:val="72"/>
          <w:highlight w:val="none"/>
        </w:rPr>
      </w:pPr>
    </w:p>
    <w:p>
      <w:pPr>
        <w:widowControl/>
        <w:jc w:val="left"/>
        <w:rPr>
          <w:color w:val="auto"/>
          <w:sz w:val="72"/>
          <w:szCs w:val="72"/>
          <w:highlight w:val="none"/>
        </w:rPr>
      </w:pPr>
    </w:p>
    <w:p>
      <w:pPr>
        <w:widowControl/>
        <w:jc w:val="left"/>
        <w:rPr>
          <w:color w:val="auto"/>
          <w:sz w:val="72"/>
          <w:szCs w:val="72"/>
          <w:highlight w:val="none"/>
        </w:rPr>
      </w:pPr>
    </w:p>
    <w:p>
      <w:pPr>
        <w:widowControl/>
        <w:jc w:val="left"/>
        <w:rPr>
          <w:color w:val="auto"/>
          <w:sz w:val="72"/>
          <w:szCs w:val="72"/>
          <w:highlight w:val="none"/>
        </w:rPr>
      </w:pPr>
    </w:p>
    <w:p>
      <w:pPr>
        <w:widowControl/>
        <w:jc w:val="left"/>
        <w:rPr>
          <w:color w:val="auto"/>
          <w:sz w:val="72"/>
          <w:szCs w:val="72"/>
          <w:highlight w:val="none"/>
        </w:rPr>
      </w:pPr>
    </w:p>
    <w:p>
      <w:pPr>
        <w:widowControl/>
        <w:jc w:val="left"/>
        <w:rPr>
          <w:color w:val="auto"/>
          <w:sz w:val="72"/>
          <w:szCs w:val="72"/>
          <w:highlight w:val="none"/>
        </w:rPr>
      </w:pPr>
    </w:p>
    <w:p>
      <w:pPr>
        <w:pStyle w:val="14"/>
        <w:jc w:val="center"/>
        <w:rPr>
          <w:color w:val="auto"/>
          <w:sz w:val="72"/>
          <w:szCs w:val="72"/>
          <w:highlight w:val="none"/>
        </w:rPr>
      </w:pPr>
      <w:r>
        <w:rPr>
          <w:rFonts w:hint="eastAsia"/>
          <w:color w:val="auto"/>
          <w:sz w:val="72"/>
          <w:szCs w:val="72"/>
          <w:highlight w:val="none"/>
        </w:rPr>
        <w:t>第五部分</w:t>
      </w:r>
    </w:p>
    <w:p>
      <w:pPr>
        <w:jc w:val="center"/>
        <w:rPr>
          <w:rFonts w:ascii="黑体" w:eastAsia="黑体" w:cs="黑体"/>
          <w:color w:val="auto"/>
          <w:kern w:val="0"/>
          <w:sz w:val="70"/>
          <w:szCs w:val="70"/>
          <w:highlight w:val="none"/>
        </w:rPr>
      </w:pPr>
    </w:p>
    <w:p>
      <w:pPr>
        <w:jc w:val="center"/>
        <w:rPr>
          <w:rFonts w:ascii="黑体" w:eastAsia="黑体" w:cs="黑体"/>
          <w:color w:val="auto"/>
          <w:kern w:val="0"/>
          <w:sz w:val="70"/>
          <w:szCs w:val="70"/>
          <w:highlight w:val="none"/>
        </w:rPr>
      </w:pPr>
      <w:r>
        <w:rPr>
          <w:rFonts w:hint="eastAsia" w:ascii="黑体" w:eastAsia="黑体" w:cs="黑体"/>
          <w:color w:val="auto"/>
          <w:kern w:val="0"/>
          <w:sz w:val="70"/>
          <w:szCs w:val="70"/>
          <w:highlight w:val="none"/>
        </w:rPr>
        <w:t>附件</w:t>
      </w:r>
    </w:p>
    <w:p>
      <w:pPr>
        <w:widowControl/>
        <w:jc w:val="left"/>
        <w:rPr>
          <w:rFonts w:hint="eastAsia" w:asciiTheme="minorEastAsia" w:hAnsiTheme="minorEastAsia" w:eastAsiaTheme="minorEastAsia" w:cstheme="minorEastAsia"/>
          <w:b/>
          <w:color w:val="auto"/>
          <w:kern w:val="0"/>
          <w:sz w:val="28"/>
          <w:szCs w:val="28"/>
          <w:highlight w:val="none"/>
          <w:lang w:eastAsia="zh-CN"/>
        </w:rPr>
      </w:pPr>
    </w:p>
    <w:p>
      <w:pPr>
        <w:widowControl/>
        <w:jc w:val="left"/>
        <w:rPr>
          <w:rFonts w:hint="eastAsia" w:asciiTheme="minorEastAsia" w:hAnsiTheme="minorEastAsia" w:eastAsiaTheme="minorEastAsia" w:cstheme="minorEastAsia"/>
          <w:b/>
          <w:color w:val="auto"/>
          <w:kern w:val="0"/>
          <w:sz w:val="28"/>
          <w:szCs w:val="28"/>
          <w:highlight w:val="none"/>
          <w:lang w:eastAsia="zh-CN"/>
        </w:rPr>
      </w:pPr>
    </w:p>
    <w:p>
      <w:pPr>
        <w:widowControl/>
        <w:jc w:val="left"/>
        <w:rPr>
          <w:rFonts w:hint="eastAsia" w:asciiTheme="minorEastAsia" w:hAnsiTheme="minorEastAsia" w:eastAsiaTheme="minorEastAsia" w:cstheme="minorEastAsia"/>
          <w:b/>
          <w:color w:val="auto"/>
          <w:kern w:val="0"/>
          <w:sz w:val="28"/>
          <w:szCs w:val="28"/>
          <w:highlight w:val="none"/>
          <w:lang w:eastAsia="zh-CN"/>
        </w:rPr>
      </w:pPr>
    </w:p>
    <w:p>
      <w:pPr>
        <w:widowControl/>
        <w:jc w:val="left"/>
        <w:rPr>
          <w:rFonts w:hint="eastAsia" w:asciiTheme="minorEastAsia" w:hAnsiTheme="minorEastAsia" w:eastAsiaTheme="minorEastAsia" w:cstheme="minorEastAsia"/>
          <w:b/>
          <w:color w:val="auto"/>
          <w:kern w:val="0"/>
          <w:sz w:val="28"/>
          <w:szCs w:val="28"/>
          <w:highlight w:val="none"/>
          <w:lang w:eastAsia="zh-CN"/>
        </w:rPr>
      </w:pPr>
    </w:p>
    <w:p>
      <w:pPr>
        <w:widowControl/>
        <w:jc w:val="left"/>
        <w:rPr>
          <w:rFonts w:hint="eastAsia" w:asciiTheme="minorEastAsia" w:hAnsiTheme="minorEastAsia" w:eastAsiaTheme="minorEastAsia" w:cstheme="minorEastAsia"/>
          <w:b/>
          <w:color w:val="auto"/>
          <w:kern w:val="0"/>
          <w:sz w:val="28"/>
          <w:szCs w:val="28"/>
          <w:highlight w:val="none"/>
          <w:lang w:eastAsia="zh-CN"/>
        </w:rPr>
      </w:pPr>
    </w:p>
    <w:p>
      <w:pPr>
        <w:widowControl/>
        <w:jc w:val="left"/>
        <w:rPr>
          <w:rFonts w:hint="eastAsia" w:asciiTheme="minorEastAsia" w:hAnsiTheme="minorEastAsia" w:eastAsiaTheme="minorEastAsia" w:cstheme="minorEastAsia"/>
          <w:b/>
          <w:color w:val="auto"/>
          <w:kern w:val="0"/>
          <w:sz w:val="28"/>
          <w:szCs w:val="28"/>
          <w:highlight w:val="none"/>
          <w:lang w:eastAsia="zh-CN"/>
        </w:rPr>
      </w:pPr>
    </w:p>
    <w:p>
      <w:pPr>
        <w:widowControl/>
        <w:jc w:val="left"/>
        <w:rPr>
          <w:rFonts w:hint="eastAsia" w:asciiTheme="minorEastAsia" w:hAnsiTheme="minorEastAsia" w:eastAsiaTheme="minorEastAsia" w:cstheme="minorEastAsia"/>
          <w:b/>
          <w:color w:val="auto"/>
          <w:kern w:val="0"/>
          <w:sz w:val="28"/>
          <w:szCs w:val="28"/>
          <w:highlight w:val="none"/>
          <w:lang w:eastAsia="zh-CN"/>
        </w:rPr>
      </w:pPr>
    </w:p>
    <w:p>
      <w:pPr>
        <w:widowControl/>
        <w:jc w:val="left"/>
        <w:rPr>
          <w:rFonts w:hint="eastAsia" w:asciiTheme="minorEastAsia" w:hAnsiTheme="minorEastAsia" w:eastAsiaTheme="minorEastAsia" w:cstheme="minorEastAsia"/>
          <w:b/>
          <w:color w:val="auto"/>
          <w:kern w:val="0"/>
          <w:sz w:val="28"/>
          <w:szCs w:val="28"/>
          <w:highlight w:val="none"/>
          <w:lang w:eastAsia="zh-CN"/>
        </w:rPr>
      </w:pPr>
    </w:p>
    <w:p>
      <w:pPr>
        <w:widowControl/>
        <w:jc w:val="left"/>
        <w:rPr>
          <w:rFonts w:hint="eastAsia" w:asciiTheme="minorEastAsia" w:hAnsiTheme="minorEastAsia" w:eastAsiaTheme="minorEastAsia" w:cstheme="minorEastAsia"/>
          <w:b/>
          <w:color w:val="auto"/>
          <w:kern w:val="0"/>
          <w:sz w:val="28"/>
          <w:szCs w:val="28"/>
          <w:highlight w:val="none"/>
          <w:lang w:eastAsia="zh-CN"/>
        </w:rPr>
      </w:pPr>
    </w:p>
    <w:p>
      <w:pPr>
        <w:widowControl/>
        <w:jc w:val="left"/>
        <w:rPr>
          <w:rFonts w:hint="eastAsia" w:asciiTheme="minorEastAsia" w:hAnsiTheme="minorEastAsia" w:eastAsiaTheme="minorEastAsia" w:cstheme="minorEastAsia"/>
          <w:b/>
          <w:color w:val="auto"/>
          <w:kern w:val="0"/>
          <w:sz w:val="28"/>
          <w:szCs w:val="28"/>
          <w:highlight w:val="none"/>
          <w:lang w:eastAsia="zh-CN"/>
        </w:rPr>
      </w:pPr>
    </w:p>
    <w:p>
      <w:pPr>
        <w:widowControl/>
        <w:ind w:firstLine="1120" w:firstLineChars="400"/>
        <w:jc w:val="left"/>
        <w:rPr>
          <w:rFonts w:hint="eastAsia" w:asciiTheme="minorEastAsia" w:hAnsiTheme="minorEastAsia" w:cstheme="minorEastAsia"/>
          <w:b/>
          <w:color w:val="auto"/>
          <w:kern w:val="0"/>
          <w:sz w:val="28"/>
          <w:szCs w:val="28"/>
          <w:highlight w:val="none"/>
          <w:lang w:val="en-US" w:eastAsia="zh-CN"/>
        </w:rPr>
      </w:pPr>
      <w:r>
        <w:rPr>
          <w:rFonts w:hint="eastAsia" w:asciiTheme="minorEastAsia" w:hAnsiTheme="minorEastAsia" w:eastAsiaTheme="minorEastAsia" w:cstheme="minorEastAsia"/>
          <w:b/>
          <w:color w:val="auto"/>
          <w:kern w:val="0"/>
          <w:sz w:val="28"/>
          <w:szCs w:val="28"/>
          <w:highlight w:val="none"/>
          <w:lang w:eastAsia="zh-CN"/>
        </w:rPr>
        <w:t>附件</w:t>
      </w:r>
      <w:r>
        <w:rPr>
          <w:rFonts w:hint="eastAsia" w:asciiTheme="minorEastAsia" w:hAnsiTheme="minorEastAsia" w:eastAsiaTheme="minorEastAsia" w:cstheme="minorEastAsia"/>
          <w:b/>
          <w:color w:val="auto"/>
          <w:kern w:val="0"/>
          <w:sz w:val="28"/>
          <w:szCs w:val="28"/>
          <w:highlight w:val="none"/>
          <w:lang w:val="en-US" w:eastAsia="zh-CN"/>
        </w:rPr>
        <w:t>1、</w:t>
      </w:r>
      <w:r>
        <w:rPr>
          <w:rFonts w:hint="eastAsia" w:asciiTheme="minorEastAsia" w:hAnsiTheme="minorEastAsia" w:cstheme="minorEastAsia"/>
          <w:b/>
          <w:color w:val="auto"/>
          <w:kern w:val="0"/>
          <w:sz w:val="28"/>
          <w:szCs w:val="28"/>
          <w:highlight w:val="none"/>
          <w:lang w:val="en-US" w:eastAsia="zh-CN"/>
        </w:rPr>
        <w:t>2021年度卫生健康委员会决算公开表。</w:t>
      </w:r>
    </w:p>
    <w:p>
      <w:pPr>
        <w:ind w:firstLine="1120" w:firstLineChars="400"/>
        <w:jc w:val="both"/>
        <w:rPr>
          <w:rFonts w:cs="黑体" w:asciiTheme="minorEastAsia" w:hAnsiTheme="minorEastAsia"/>
          <w:color w:val="auto"/>
          <w:kern w:val="0"/>
          <w:sz w:val="32"/>
          <w:szCs w:val="32"/>
          <w:highlight w:val="none"/>
        </w:rPr>
      </w:pPr>
      <w:r>
        <w:rPr>
          <w:rFonts w:hint="eastAsia" w:asciiTheme="minorEastAsia" w:hAnsiTheme="minorEastAsia" w:cstheme="minorEastAsia"/>
          <w:b/>
          <w:color w:val="auto"/>
          <w:kern w:val="0"/>
          <w:sz w:val="28"/>
          <w:szCs w:val="28"/>
          <w:highlight w:val="none"/>
          <w:lang w:val="en-US" w:eastAsia="zh-CN"/>
        </w:rPr>
        <w:t>附件2、</w:t>
      </w:r>
      <w:r>
        <w:rPr>
          <w:rFonts w:hint="eastAsia" w:asciiTheme="minorEastAsia" w:hAnsiTheme="minorEastAsia" w:eastAsiaTheme="minorEastAsia" w:cstheme="minorEastAsia"/>
          <w:b/>
          <w:color w:val="auto"/>
          <w:kern w:val="0"/>
          <w:sz w:val="28"/>
          <w:szCs w:val="28"/>
          <w:highlight w:val="none"/>
        </w:rPr>
        <w:t>20</w:t>
      </w:r>
      <w:r>
        <w:rPr>
          <w:rFonts w:hint="eastAsia" w:asciiTheme="minorEastAsia" w:hAnsiTheme="minorEastAsia" w:cstheme="minorEastAsia"/>
          <w:b/>
          <w:color w:val="auto"/>
          <w:kern w:val="0"/>
          <w:sz w:val="28"/>
          <w:szCs w:val="28"/>
          <w:highlight w:val="none"/>
          <w:lang w:val="en-US" w:eastAsia="zh-CN"/>
        </w:rPr>
        <w:t>21</w:t>
      </w:r>
      <w:r>
        <w:rPr>
          <w:rFonts w:hint="eastAsia" w:asciiTheme="minorEastAsia" w:hAnsiTheme="minorEastAsia" w:eastAsiaTheme="minorEastAsia" w:cstheme="minorEastAsia"/>
          <w:b/>
          <w:color w:val="auto"/>
          <w:kern w:val="0"/>
          <w:sz w:val="28"/>
          <w:szCs w:val="28"/>
          <w:highlight w:val="none"/>
        </w:rPr>
        <w:t>年度部门整体支出绩效评价报告</w:t>
      </w:r>
      <w:r>
        <w:rPr>
          <w:rFonts w:hint="eastAsia" w:asciiTheme="minorEastAsia" w:hAnsiTheme="minorEastAsia" w:cstheme="minorEastAsia"/>
          <w:b/>
          <w:color w:val="auto"/>
          <w:kern w:val="0"/>
          <w:sz w:val="28"/>
          <w:szCs w:val="28"/>
          <w:highlight w:val="none"/>
          <w:lang w:eastAsia="zh-CN"/>
        </w:rPr>
        <w:t>。</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62DA55"/>
    <w:multiLevelType w:val="singleLevel"/>
    <w:tmpl w:val="C662DA55"/>
    <w:lvl w:ilvl="0" w:tentative="0">
      <w:start w:val="2"/>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yYWQzYWNhMGJlNGVhNmU1MDdiOTI2YTZkZGI1OTUifQ=="/>
  </w:docVars>
  <w:rsids>
    <w:rsidRoot w:val="004506F9"/>
    <w:rsid w:val="0002229B"/>
    <w:rsid w:val="000273BD"/>
    <w:rsid w:val="000415B7"/>
    <w:rsid w:val="000658A3"/>
    <w:rsid w:val="00074155"/>
    <w:rsid w:val="000A3F69"/>
    <w:rsid w:val="00152C6D"/>
    <w:rsid w:val="00162D39"/>
    <w:rsid w:val="001A67DB"/>
    <w:rsid w:val="001D51E5"/>
    <w:rsid w:val="001F0C3B"/>
    <w:rsid w:val="00214427"/>
    <w:rsid w:val="00265724"/>
    <w:rsid w:val="0027426B"/>
    <w:rsid w:val="003479BD"/>
    <w:rsid w:val="003768D5"/>
    <w:rsid w:val="003B6ED3"/>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70249"/>
    <w:rsid w:val="00A92432"/>
    <w:rsid w:val="00B33BEA"/>
    <w:rsid w:val="00B57C9F"/>
    <w:rsid w:val="00B845B3"/>
    <w:rsid w:val="00B85D8B"/>
    <w:rsid w:val="00BE3674"/>
    <w:rsid w:val="00C3049A"/>
    <w:rsid w:val="00C31B1E"/>
    <w:rsid w:val="00C77645"/>
    <w:rsid w:val="00CE04C3"/>
    <w:rsid w:val="00CE76A0"/>
    <w:rsid w:val="00D148C6"/>
    <w:rsid w:val="00DD06FF"/>
    <w:rsid w:val="00DD5FE9"/>
    <w:rsid w:val="00E00C7A"/>
    <w:rsid w:val="00E55B68"/>
    <w:rsid w:val="00F74360"/>
    <w:rsid w:val="00FB462F"/>
    <w:rsid w:val="00FE16FA"/>
    <w:rsid w:val="00FE328A"/>
    <w:rsid w:val="01552099"/>
    <w:rsid w:val="02366E4A"/>
    <w:rsid w:val="02BE724D"/>
    <w:rsid w:val="03907BDC"/>
    <w:rsid w:val="03A2514E"/>
    <w:rsid w:val="03C50E4B"/>
    <w:rsid w:val="04444151"/>
    <w:rsid w:val="05B74B3A"/>
    <w:rsid w:val="05C043C6"/>
    <w:rsid w:val="064F2F45"/>
    <w:rsid w:val="0697565D"/>
    <w:rsid w:val="06AA0A5B"/>
    <w:rsid w:val="077D2C65"/>
    <w:rsid w:val="09A47FB2"/>
    <w:rsid w:val="0A841E0C"/>
    <w:rsid w:val="0AF6287A"/>
    <w:rsid w:val="0B6D7FCA"/>
    <w:rsid w:val="0B7065C3"/>
    <w:rsid w:val="0BA50CA6"/>
    <w:rsid w:val="0BCF3A4D"/>
    <w:rsid w:val="0C4E0B99"/>
    <w:rsid w:val="0D62062B"/>
    <w:rsid w:val="0DD56120"/>
    <w:rsid w:val="0E135885"/>
    <w:rsid w:val="0EB506FE"/>
    <w:rsid w:val="0F64201F"/>
    <w:rsid w:val="0FAF4FA9"/>
    <w:rsid w:val="0FBC7F31"/>
    <w:rsid w:val="0FC64838"/>
    <w:rsid w:val="10091F98"/>
    <w:rsid w:val="10125D75"/>
    <w:rsid w:val="1016190F"/>
    <w:rsid w:val="106117C4"/>
    <w:rsid w:val="10B63FE7"/>
    <w:rsid w:val="10E24DDC"/>
    <w:rsid w:val="10F618B3"/>
    <w:rsid w:val="11000F67"/>
    <w:rsid w:val="11D060B9"/>
    <w:rsid w:val="11D61C6F"/>
    <w:rsid w:val="11E43620"/>
    <w:rsid w:val="11E51B28"/>
    <w:rsid w:val="12A84DF3"/>
    <w:rsid w:val="12D8182A"/>
    <w:rsid w:val="12F63149"/>
    <w:rsid w:val="1368015A"/>
    <w:rsid w:val="13D014C9"/>
    <w:rsid w:val="13D2186C"/>
    <w:rsid w:val="14495C4A"/>
    <w:rsid w:val="152A6F9A"/>
    <w:rsid w:val="15D44B38"/>
    <w:rsid w:val="1652241C"/>
    <w:rsid w:val="16EC3BD6"/>
    <w:rsid w:val="170272DF"/>
    <w:rsid w:val="17377B5D"/>
    <w:rsid w:val="175E5A7C"/>
    <w:rsid w:val="17DA4A5F"/>
    <w:rsid w:val="18CF7D48"/>
    <w:rsid w:val="18D866CA"/>
    <w:rsid w:val="19C25A92"/>
    <w:rsid w:val="19DC1D08"/>
    <w:rsid w:val="1A81653D"/>
    <w:rsid w:val="1A883CF4"/>
    <w:rsid w:val="1AFB59F5"/>
    <w:rsid w:val="1B593EDC"/>
    <w:rsid w:val="1BE10CEB"/>
    <w:rsid w:val="1C84143D"/>
    <w:rsid w:val="1E57483A"/>
    <w:rsid w:val="1EB40613"/>
    <w:rsid w:val="1FBFC3A2"/>
    <w:rsid w:val="1FC43619"/>
    <w:rsid w:val="215160C7"/>
    <w:rsid w:val="21845E39"/>
    <w:rsid w:val="22D97C4D"/>
    <w:rsid w:val="265062FD"/>
    <w:rsid w:val="26C92333"/>
    <w:rsid w:val="26D74706"/>
    <w:rsid w:val="27886A88"/>
    <w:rsid w:val="27F751B9"/>
    <w:rsid w:val="28305D00"/>
    <w:rsid w:val="296B0AE1"/>
    <w:rsid w:val="29C953ED"/>
    <w:rsid w:val="2A4A387D"/>
    <w:rsid w:val="2A6F5BAE"/>
    <w:rsid w:val="2B7E4E4E"/>
    <w:rsid w:val="2B896631"/>
    <w:rsid w:val="2C034C17"/>
    <w:rsid w:val="2D4C3A6C"/>
    <w:rsid w:val="2DCE3661"/>
    <w:rsid w:val="2F67708E"/>
    <w:rsid w:val="2F776BDF"/>
    <w:rsid w:val="2FD73210"/>
    <w:rsid w:val="303F7CEF"/>
    <w:rsid w:val="30742FBB"/>
    <w:rsid w:val="30D72EF4"/>
    <w:rsid w:val="333F17C2"/>
    <w:rsid w:val="34687C00"/>
    <w:rsid w:val="34F06FE0"/>
    <w:rsid w:val="364D4628"/>
    <w:rsid w:val="37216138"/>
    <w:rsid w:val="37553F73"/>
    <w:rsid w:val="37F11621"/>
    <w:rsid w:val="383D41FD"/>
    <w:rsid w:val="38B80FB3"/>
    <w:rsid w:val="38C043B7"/>
    <w:rsid w:val="3934239E"/>
    <w:rsid w:val="39846DEB"/>
    <w:rsid w:val="3A190C36"/>
    <w:rsid w:val="3A500759"/>
    <w:rsid w:val="3B0149FF"/>
    <w:rsid w:val="3B96663F"/>
    <w:rsid w:val="3BF57292"/>
    <w:rsid w:val="3C373C40"/>
    <w:rsid w:val="3C4B7CF3"/>
    <w:rsid w:val="3C7B3F44"/>
    <w:rsid w:val="3CB67379"/>
    <w:rsid w:val="3CE67920"/>
    <w:rsid w:val="3D066AD1"/>
    <w:rsid w:val="3D2C2E49"/>
    <w:rsid w:val="3DEA0A36"/>
    <w:rsid w:val="3EAD1CD6"/>
    <w:rsid w:val="3F8F6820"/>
    <w:rsid w:val="41201CD7"/>
    <w:rsid w:val="414330BE"/>
    <w:rsid w:val="4164447F"/>
    <w:rsid w:val="419773F0"/>
    <w:rsid w:val="42FE1904"/>
    <w:rsid w:val="435E3EE6"/>
    <w:rsid w:val="43851154"/>
    <w:rsid w:val="43E545D1"/>
    <w:rsid w:val="44AC0572"/>
    <w:rsid w:val="45E32481"/>
    <w:rsid w:val="49A85EBB"/>
    <w:rsid w:val="4B6C0782"/>
    <w:rsid w:val="4BC84EEF"/>
    <w:rsid w:val="4BE46B16"/>
    <w:rsid w:val="4CB4416F"/>
    <w:rsid w:val="4CC2767C"/>
    <w:rsid w:val="4E6B30B5"/>
    <w:rsid w:val="509E6949"/>
    <w:rsid w:val="50DB6B76"/>
    <w:rsid w:val="53143010"/>
    <w:rsid w:val="538E5106"/>
    <w:rsid w:val="555F3D44"/>
    <w:rsid w:val="55A474E7"/>
    <w:rsid w:val="55A54EB4"/>
    <w:rsid w:val="566F2CD2"/>
    <w:rsid w:val="56942683"/>
    <w:rsid w:val="57706B9D"/>
    <w:rsid w:val="57C636BE"/>
    <w:rsid w:val="57DB2383"/>
    <w:rsid w:val="592E343F"/>
    <w:rsid w:val="59A8530B"/>
    <w:rsid w:val="59AD76DB"/>
    <w:rsid w:val="59CB4D74"/>
    <w:rsid w:val="5A3D0C5B"/>
    <w:rsid w:val="5A4357B0"/>
    <w:rsid w:val="5A650C87"/>
    <w:rsid w:val="5A821B94"/>
    <w:rsid w:val="5B481F96"/>
    <w:rsid w:val="5B4B35FF"/>
    <w:rsid w:val="5B870C9C"/>
    <w:rsid w:val="5BDE5094"/>
    <w:rsid w:val="5C7D7666"/>
    <w:rsid w:val="5E8408C7"/>
    <w:rsid w:val="5E861DDE"/>
    <w:rsid w:val="5E9835D0"/>
    <w:rsid w:val="5EC86368"/>
    <w:rsid w:val="5EF7A060"/>
    <w:rsid w:val="5F24242C"/>
    <w:rsid w:val="6017456C"/>
    <w:rsid w:val="609F0125"/>
    <w:rsid w:val="61265B17"/>
    <w:rsid w:val="61272A6A"/>
    <w:rsid w:val="61B62970"/>
    <w:rsid w:val="61E727D2"/>
    <w:rsid w:val="621C2B4B"/>
    <w:rsid w:val="627E4000"/>
    <w:rsid w:val="628C734E"/>
    <w:rsid w:val="629D5F6B"/>
    <w:rsid w:val="63344E50"/>
    <w:rsid w:val="63E427DF"/>
    <w:rsid w:val="641B64B3"/>
    <w:rsid w:val="64F534FA"/>
    <w:rsid w:val="672A3F5C"/>
    <w:rsid w:val="67AA4015"/>
    <w:rsid w:val="68A77253"/>
    <w:rsid w:val="696B18B5"/>
    <w:rsid w:val="6A532299"/>
    <w:rsid w:val="6A5F216E"/>
    <w:rsid w:val="6C101972"/>
    <w:rsid w:val="6C354E50"/>
    <w:rsid w:val="6C670867"/>
    <w:rsid w:val="6C706824"/>
    <w:rsid w:val="6CCB3AEB"/>
    <w:rsid w:val="6D6F26C8"/>
    <w:rsid w:val="6DD96515"/>
    <w:rsid w:val="6EE91A6A"/>
    <w:rsid w:val="6EFFB95A"/>
    <w:rsid w:val="6F381EA7"/>
    <w:rsid w:val="6F654A8B"/>
    <w:rsid w:val="70D311C0"/>
    <w:rsid w:val="70DB40DF"/>
    <w:rsid w:val="70E613F3"/>
    <w:rsid w:val="7150377A"/>
    <w:rsid w:val="71AF5789"/>
    <w:rsid w:val="71F2526B"/>
    <w:rsid w:val="721C65BC"/>
    <w:rsid w:val="73C15474"/>
    <w:rsid w:val="74346047"/>
    <w:rsid w:val="744E38A6"/>
    <w:rsid w:val="754C5FF3"/>
    <w:rsid w:val="75AC502E"/>
    <w:rsid w:val="76174231"/>
    <w:rsid w:val="765C568F"/>
    <w:rsid w:val="769244F4"/>
    <w:rsid w:val="77FE500C"/>
    <w:rsid w:val="78532091"/>
    <w:rsid w:val="788175EA"/>
    <w:rsid w:val="78DD6090"/>
    <w:rsid w:val="79FF3026"/>
    <w:rsid w:val="7A540C7C"/>
    <w:rsid w:val="7A71787B"/>
    <w:rsid w:val="7A79112F"/>
    <w:rsid w:val="7AEC7DC5"/>
    <w:rsid w:val="7BDE0E82"/>
    <w:rsid w:val="7BEB51D7"/>
    <w:rsid w:val="7D7810B5"/>
    <w:rsid w:val="7D7A93C7"/>
    <w:rsid w:val="7E1C7489"/>
    <w:rsid w:val="7F7F485E"/>
    <w:rsid w:val="7FAA1521"/>
    <w:rsid w:val="B77DE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spacing w:line="0" w:lineRule="atLeast"/>
      <w:jc w:val="center"/>
    </w:pPr>
    <w:rPr>
      <w:rFonts w:ascii="Arial" w:hAnsi="Arial" w:eastAsia="黑体"/>
      <w:sz w:val="52"/>
    </w:rPr>
  </w:style>
  <w:style w:type="paragraph" w:styleId="3">
    <w:name w:val="Body Text Indent"/>
    <w:basedOn w:val="1"/>
    <w:next w:val="1"/>
    <w:qFormat/>
    <w:uiPriority w:val="0"/>
    <w:pPr>
      <w:spacing w:after="120"/>
      <w:ind w:left="420" w:leftChars="200"/>
    </w:p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0">
    <w:name w:val="FollowedHyperlink"/>
    <w:basedOn w:val="9"/>
    <w:semiHidden/>
    <w:unhideWhenUsed/>
    <w:qFormat/>
    <w:uiPriority w:val="99"/>
    <w:rPr>
      <w:color w:val="000000"/>
      <w:u w:val="none"/>
    </w:rPr>
  </w:style>
  <w:style w:type="character" w:styleId="11">
    <w:name w:val="Hyperlink"/>
    <w:basedOn w:val="9"/>
    <w:semiHidden/>
    <w:unhideWhenUsed/>
    <w:qFormat/>
    <w:uiPriority w:val="99"/>
    <w:rPr>
      <w:color w:val="000000"/>
      <w:u w:val="non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9"/>
    <w:link w:val="4"/>
    <w:semiHidden/>
    <w:qFormat/>
    <w:uiPriority w:val="99"/>
    <w:rPr>
      <w:sz w:val="18"/>
      <w:szCs w:val="18"/>
    </w:rPr>
  </w:style>
  <w:style w:type="character" w:customStyle="1" w:styleId="17">
    <w:name w:val="bsharetext"/>
    <w:basedOn w:val="9"/>
    <w:qFormat/>
    <w:uiPriority w:val="0"/>
  </w:style>
  <w:style w:type="character" w:customStyle="1" w:styleId="18">
    <w:name w:val="hover19"/>
    <w:basedOn w:val="9"/>
    <w:qFormat/>
    <w:uiPriority w:val="0"/>
    <w:rPr>
      <w:color w:val="000000"/>
      <w:shd w:val="clear" w:fill="FFFFFF"/>
    </w:rPr>
  </w:style>
  <w:style w:type="character" w:customStyle="1" w:styleId="19">
    <w:name w:val="wx-space"/>
    <w:basedOn w:val="9"/>
    <w:qFormat/>
    <w:uiPriority w:val="0"/>
  </w:style>
  <w:style w:type="character" w:customStyle="1" w:styleId="20">
    <w:name w:val="wx-space1"/>
    <w:basedOn w:val="9"/>
    <w:qFormat/>
    <w:uiPriority w:val="0"/>
  </w:style>
  <w:style w:type="character" w:customStyle="1" w:styleId="21">
    <w:name w:val="hover18"/>
    <w:basedOn w:val="9"/>
    <w:qFormat/>
    <w:uiPriority w:val="0"/>
    <w:rPr>
      <w:color w:val="000000"/>
      <w:shd w:val="clear" w:fil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8989</Words>
  <Characters>9594</Characters>
  <Lines>59</Lines>
  <Paragraphs>16</Paragraphs>
  <TotalTime>23</TotalTime>
  <ScaleCrop>false</ScaleCrop>
  <LinksUpToDate>false</LinksUpToDate>
  <CharactersWithSpaces>9665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2020-07-02T18:32:00Z</dcterms:created>
  <dc:creator>李航 null</dc:creator>
  <cp:lastModifiedBy>86189</cp:lastModifiedBy>
  <cp:lastPrinted>2022-09-26T10:22:00Z</cp:lastPrinted>
  <dcterms:modified xsi:type="dcterms:W3CDTF">2023-09-23T05:48:22Z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022E6BC6F3E7428BBF0102585E496913</vt:lpwstr>
  </property>
</Properties>
</file>